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858" w:rsidRDefault="00C748BE">
      <w:pPr>
        <w:autoSpaceDE w:val="0"/>
        <w:autoSpaceDN w:val="0"/>
        <w:adjustRightInd w:val="0"/>
        <w:spacing w:after="0" w:line="240" w:lineRule="auto"/>
        <w:jc w:val="both"/>
        <w:rPr>
          <w:rFonts w:ascii="Arial" w:eastAsia="Times New Roman" w:hAnsi="Arial" w:cs="Arial"/>
          <w:b/>
          <w:bCs/>
          <w:color w:val="C00000"/>
          <w:sz w:val="28"/>
          <w:szCs w:val="28"/>
          <w:lang w:val="en-US"/>
        </w:rPr>
      </w:pPr>
      <w:bookmarkStart w:id="0" w:name="_GoBack"/>
      <w:bookmarkEnd w:id="0"/>
      <w:r w:rsidRPr="00E561F2">
        <w:rPr>
          <w:rFonts w:ascii="Arial" w:eastAsia="Times New Roman" w:hAnsi="Arial" w:cs="Arial"/>
          <w:b/>
          <w:bCs/>
          <w:color w:val="C00000"/>
          <w:sz w:val="28"/>
          <w:szCs w:val="28"/>
          <w:lang w:val="en-US"/>
        </w:rPr>
        <w:t>Public Fund Prospectus Disclosure</w:t>
      </w:r>
      <w:r w:rsidR="00C3101D" w:rsidRPr="00E561F2">
        <w:rPr>
          <w:rFonts w:ascii="Arial" w:eastAsia="Times New Roman" w:hAnsi="Arial" w:cs="Arial"/>
          <w:b/>
          <w:bCs/>
          <w:color w:val="C00000"/>
          <w:sz w:val="28"/>
          <w:szCs w:val="28"/>
          <w:lang w:val="en-US"/>
        </w:rPr>
        <w:t xml:space="preserve"> Checklist</w:t>
      </w:r>
    </w:p>
    <w:p w:rsidR="00934CF6" w:rsidRDefault="00934CF6">
      <w:pPr>
        <w:autoSpaceDE w:val="0"/>
        <w:autoSpaceDN w:val="0"/>
        <w:adjustRightInd w:val="0"/>
        <w:spacing w:after="0" w:line="240" w:lineRule="auto"/>
        <w:jc w:val="both"/>
        <w:rPr>
          <w:rFonts w:ascii="Arial" w:eastAsia="Times New Roman" w:hAnsi="Arial" w:cs="Arial"/>
          <w:b/>
          <w:bCs/>
          <w:color w:val="C00000"/>
          <w:sz w:val="28"/>
          <w:szCs w:val="28"/>
          <w:lang w:val="en-US"/>
        </w:rPr>
      </w:pPr>
    </w:p>
    <w:p w:rsidR="00934CF6" w:rsidRPr="00E561F2" w:rsidRDefault="00934CF6" w:rsidP="00934CF6">
      <w:pPr>
        <w:autoSpaceDE w:val="0"/>
        <w:autoSpaceDN w:val="0"/>
        <w:adjustRightInd w:val="0"/>
        <w:spacing w:after="0" w:line="240" w:lineRule="auto"/>
        <w:jc w:val="both"/>
        <w:rPr>
          <w:rFonts w:ascii="Arial" w:eastAsia="Times New Roman" w:hAnsi="Arial" w:cs="Arial"/>
          <w:b/>
          <w:bCs/>
          <w:color w:val="C00000"/>
          <w:sz w:val="28"/>
          <w:szCs w:val="28"/>
          <w:lang w:val="en-US"/>
        </w:rPr>
      </w:pPr>
      <w:r w:rsidRPr="006953EA">
        <w:rPr>
          <w:rFonts w:ascii="Arial" w:eastAsia="Times New Roman" w:hAnsi="Arial" w:cs="Arial"/>
          <w:b/>
          <w:bCs/>
          <w:sz w:val="24"/>
          <w:szCs w:val="24"/>
          <w:lang w:val="en-US"/>
        </w:rPr>
        <w:t xml:space="preserve">Please submit this completed </w:t>
      </w:r>
      <w:r>
        <w:rPr>
          <w:rFonts w:ascii="Arial" w:eastAsia="Times New Roman" w:hAnsi="Arial" w:cs="Arial"/>
          <w:b/>
          <w:bCs/>
          <w:sz w:val="24"/>
          <w:szCs w:val="24"/>
          <w:lang w:val="en-US"/>
        </w:rPr>
        <w:t>Checklist</w:t>
      </w:r>
      <w:r w:rsidRPr="006953EA">
        <w:rPr>
          <w:rFonts w:ascii="Arial" w:eastAsia="Times New Roman" w:hAnsi="Arial" w:cs="Arial"/>
          <w:b/>
          <w:bCs/>
          <w:sz w:val="24"/>
          <w:szCs w:val="24"/>
          <w:lang w:val="en-US"/>
        </w:rPr>
        <w:t xml:space="preserve"> to</w:t>
      </w:r>
      <w:r>
        <w:rPr>
          <w:rFonts w:ascii="Arial" w:eastAsia="Times New Roman" w:hAnsi="Arial" w:cs="Arial"/>
          <w:b/>
          <w:bCs/>
          <w:color w:val="C00000"/>
          <w:sz w:val="28"/>
          <w:szCs w:val="28"/>
          <w:lang w:val="en-US"/>
        </w:rPr>
        <w:t xml:space="preserve"> </w:t>
      </w:r>
      <w:hyperlink r:id="rId7" w:history="1">
        <w:r w:rsidRPr="006953EA">
          <w:rPr>
            <w:rStyle w:val="Hyperlink"/>
            <w:rFonts w:ascii="Arial" w:eastAsia="Times New Roman" w:hAnsi="Arial" w:cs="Arial"/>
            <w:b/>
            <w:bCs/>
            <w:sz w:val="24"/>
            <w:szCs w:val="24"/>
            <w:lang w:val="en-US"/>
          </w:rPr>
          <w:t>DFSAfunds@dfsa.ae</w:t>
        </w:r>
      </w:hyperlink>
    </w:p>
    <w:p w:rsidR="00054858" w:rsidRDefault="00054858">
      <w:pPr>
        <w:rPr>
          <w:rFonts w:ascii="Arial" w:eastAsia="Times New Roman" w:hAnsi="Arial" w:cs="Times New Roman"/>
          <w:sz w:val="22"/>
          <w:lang w:val="en-US"/>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4252"/>
      </w:tblGrid>
      <w:tr w:rsidR="00054858">
        <w:trPr>
          <w:cantSplit/>
          <w:tblHeader/>
        </w:trPr>
        <w:tc>
          <w:tcPr>
            <w:tcW w:w="5104" w:type="dxa"/>
            <w:shd w:val="clear" w:color="auto" w:fill="FFFFFF"/>
            <w:tcMar>
              <w:top w:w="57" w:type="dxa"/>
            </w:tcMar>
          </w:tcPr>
          <w:p w:rsidR="00054858" w:rsidRDefault="00C3101D">
            <w:pPr>
              <w:tabs>
                <w:tab w:val="right" w:leader="dot" w:pos="1451"/>
              </w:tabs>
              <w:spacing w:before="60" w:after="60" w:line="240" w:lineRule="auto"/>
              <w:rPr>
                <w:rFonts w:ascii="Arial" w:eastAsia="MS Mincho" w:hAnsi="Arial" w:cs="Arial"/>
                <w:sz w:val="22"/>
                <w:lang w:eastAsia="zh-CN"/>
              </w:rPr>
            </w:pPr>
            <w:r>
              <w:rPr>
                <w:rFonts w:ascii="Arial" w:eastAsia="MS Mincho" w:hAnsi="Arial" w:cs="Arial"/>
                <w:sz w:val="22"/>
                <w:lang w:eastAsia="zh-CN"/>
              </w:rPr>
              <w:t xml:space="preserve">Name of Applicant </w:t>
            </w:r>
          </w:p>
        </w:tc>
        <w:tc>
          <w:tcPr>
            <w:tcW w:w="4252" w:type="dxa"/>
            <w:shd w:val="clear" w:color="auto" w:fill="FFFFFF"/>
            <w:tcMar>
              <w:top w:w="57" w:type="dxa"/>
            </w:tcMar>
          </w:tcPr>
          <w:p w:rsidR="00054858" w:rsidRDefault="00054858">
            <w:pPr>
              <w:spacing w:before="40" w:after="40" w:line="240" w:lineRule="auto"/>
              <w:rPr>
                <w:rFonts w:ascii="Arial" w:eastAsia="Times New Roman" w:hAnsi="Arial" w:cs="Arial"/>
                <w:sz w:val="22"/>
                <w:lang w:eastAsia="en-GB"/>
              </w:rPr>
            </w:pPr>
          </w:p>
        </w:tc>
      </w:tr>
      <w:tr w:rsidR="00054858">
        <w:trPr>
          <w:cantSplit/>
          <w:tblHeader/>
        </w:trPr>
        <w:tc>
          <w:tcPr>
            <w:tcW w:w="5104" w:type="dxa"/>
            <w:shd w:val="clear" w:color="auto" w:fill="FFFFFF"/>
            <w:tcMar>
              <w:top w:w="57" w:type="dxa"/>
            </w:tcMar>
          </w:tcPr>
          <w:p w:rsidR="00054858" w:rsidRDefault="00C3101D">
            <w:pPr>
              <w:tabs>
                <w:tab w:val="right" w:leader="dot" w:pos="1451"/>
              </w:tabs>
              <w:spacing w:before="60" w:after="60" w:line="240" w:lineRule="auto"/>
              <w:rPr>
                <w:rFonts w:ascii="Arial" w:eastAsia="MS Mincho" w:hAnsi="Arial" w:cs="Arial"/>
                <w:sz w:val="22"/>
                <w:lang w:eastAsia="zh-CN"/>
              </w:rPr>
            </w:pPr>
            <w:r>
              <w:rPr>
                <w:rFonts w:ascii="Arial" w:eastAsia="MS Mincho" w:hAnsi="Arial" w:cs="Arial"/>
                <w:sz w:val="22"/>
                <w:lang w:eastAsia="zh-CN"/>
              </w:rPr>
              <w:t>Nature of Transaction</w:t>
            </w:r>
          </w:p>
        </w:tc>
        <w:tc>
          <w:tcPr>
            <w:tcW w:w="4252" w:type="dxa"/>
            <w:shd w:val="clear" w:color="auto" w:fill="FFFFFF"/>
            <w:tcMar>
              <w:top w:w="57" w:type="dxa"/>
            </w:tcMar>
          </w:tcPr>
          <w:p w:rsidR="00054858" w:rsidRDefault="00054858">
            <w:pPr>
              <w:spacing w:before="40" w:after="40" w:line="240" w:lineRule="auto"/>
              <w:rPr>
                <w:rFonts w:ascii="Arial" w:eastAsia="Times New Roman" w:hAnsi="Arial" w:cs="Arial"/>
                <w:sz w:val="22"/>
                <w:lang w:eastAsia="en-GB"/>
              </w:rPr>
            </w:pPr>
          </w:p>
        </w:tc>
      </w:tr>
      <w:tr w:rsidR="00054858">
        <w:trPr>
          <w:cantSplit/>
          <w:tblHeader/>
        </w:trPr>
        <w:tc>
          <w:tcPr>
            <w:tcW w:w="5104" w:type="dxa"/>
            <w:shd w:val="clear" w:color="auto" w:fill="FFFFFF"/>
            <w:tcMar>
              <w:top w:w="57" w:type="dxa"/>
            </w:tcMar>
          </w:tcPr>
          <w:p w:rsidR="00054858" w:rsidRDefault="00C3101D">
            <w:pPr>
              <w:tabs>
                <w:tab w:val="right" w:leader="dot" w:pos="1451"/>
              </w:tabs>
              <w:spacing w:before="60" w:after="60" w:line="240" w:lineRule="auto"/>
              <w:rPr>
                <w:rFonts w:ascii="Arial" w:eastAsia="MS Mincho" w:hAnsi="Arial" w:cs="Arial"/>
                <w:sz w:val="22"/>
                <w:lang w:eastAsia="zh-CN"/>
              </w:rPr>
            </w:pPr>
            <w:r>
              <w:rPr>
                <w:rFonts w:ascii="Arial" w:eastAsia="MS Mincho" w:hAnsi="Arial" w:cs="Arial"/>
                <w:sz w:val="22"/>
                <w:lang w:eastAsia="zh-CN"/>
              </w:rPr>
              <w:t>Date Submitted</w:t>
            </w:r>
          </w:p>
        </w:tc>
        <w:tc>
          <w:tcPr>
            <w:tcW w:w="4252" w:type="dxa"/>
            <w:shd w:val="clear" w:color="auto" w:fill="FFFFFF"/>
            <w:tcMar>
              <w:top w:w="57" w:type="dxa"/>
            </w:tcMar>
          </w:tcPr>
          <w:p w:rsidR="00054858" w:rsidRDefault="00054858">
            <w:pPr>
              <w:spacing w:before="40" w:after="40" w:line="240" w:lineRule="auto"/>
              <w:rPr>
                <w:rFonts w:ascii="Arial" w:eastAsia="Times New Roman" w:hAnsi="Arial" w:cs="Arial"/>
                <w:sz w:val="22"/>
                <w:lang w:eastAsia="en-GB"/>
              </w:rPr>
            </w:pPr>
          </w:p>
        </w:tc>
      </w:tr>
    </w:tbl>
    <w:p w:rsidR="00054858" w:rsidRDefault="00054858">
      <w:pPr>
        <w:spacing w:after="0" w:line="240" w:lineRule="auto"/>
        <w:rPr>
          <w:rFonts w:ascii="Arial" w:eastAsia="Times New Roman" w:hAnsi="Arial" w:cs="Times New Roman"/>
          <w:sz w:val="22"/>
          <w:lang w:val="en-US"/>
        </w:rPr>
      </w:pPr>
    </w:p>
    <w:p w:rsidR="005F323F" w:rsidRPr="00E32921" w:rsidRDefault="005F323F" w:rsidP="00E32921">
      <w:pPr>
        <w:spacing w:after="0" w:line="240" w:lineRule="auto"/>
        <w:jc w:val="both"/>
        <w:rPr>
          <w:rFonts w:ascii="Arial" w:eastAsia="Times New Roman" w:hAnsi="Arial" w:cs="Times New Roman"/>
          <w:bCs/>
          <w:szCs w:val="20"/>
          <w:lang w:val="en-US"/>
        </w:rPr>
      </w:pPr>
      <w:r w:rsidRPr="00E32921">
        <w:rPr>
          <w:rFonts w:ascii="Arial" w:eastAsia="Times New Roman" w:hAnsi="Arial" w:cs="Times New Roman"/>
          <w:bCs/>
          <w:szCs w:val="20"/>
          <w:lang w:val="en-US"/>
        </w:rPr>
        <w:t>Terms used in this checklist have the same meaning as set out the Collective Investment Rules (CIR) Module of the DFSA Rulebook</w:t>
      </w:r>
      <w:r w:rsidR="001449AC">
        <w:rPr>
          <w:rFonts w:ascii="Arial" w:eastAsia="Times New Roman" w:hAnsi="Arial" w:cs="Times New Roman"/>
          <w:bCs/>
          <w:szCs w:val="20"/>
          <w:lang w:val="en-US"/>
        </w:rPr>
        <w:t>, and, if applicable, where reference is made to IFR, the Islamic Finance Rules (IFR) Module of the DFSA Rulebook</w:t>
      </w:r>
      <w:r w:rsidRPr="00E32921">
        <w:rPr>
          <w:rFonts w:ascii="Arial" w:eastAsia="Times New Roman" w:hAnsi="Arial" w:cs="Times New Roman"/>
          <w:bCs/>
          <w:szCs w:val="20"/>
          <w:lang w:val="en-US"/>
        </w:rPr>
        <w:t>.</w:t>
      </w:r>
    </w:p>
    <w:p w:rsidR="005F323F" w:rsidRDefault="005F323F">
      <w:pPr>
        <w:spacing w:after="0" w:line="240" w:lineRule="auto"/>
        <w:rPr>
          <w:rFonts w:ascii="Arial" w:eastAsia="Times New Roman" w:hAnsi="Arial" w:cs="Times New Roman"/>
          <w:b/>
          <w:bCs/>
          <w:sz w:val="22"/>
          <w:lang w:val="en-US"/>
        </w:rPr>
      </w:pPr>
    </w:p>
    <w:p w:rsidR="00054858" w:rsidRDefault="00ED4BDD">
      <w:pPr>
        <w:spacing w:after="0" w:line="240" w:lineRule="auto"/>
        <w:rPr>
          <w:rFonts w:ascii="Arial" w:eastAsia="Times New Roman" w:hAnsi="Arial" w:cs="Times New Roman"/>
          <w:b/>
          <w:bCs/>
          <w:sz w:val="22"/>
          <w:lang w:val="en-US"/>
        </w:rPr>
      </w:pPr>
      <w:r w:rsidRPr="00ED4BDD">
        <w:rPr>
          <w:rFonts w:ascii="Arial" w:eastAsia="Times New Roman" w:hAnsi="Arial" w:cs="Times New Roman"/>
          <w:b/>
          <w:bCs/>
          <w:sz w:val="22"/>
          <w:lang w:val="en-US"/>
        </w:rPr>
        <w:t>CIR 14.3.1 Public Fund Prospectus</w:t>
      </w:r>
    </w:p>
    <w:p w:rsidR="00ED4BDD" w:rsidRDefault="00ED4BDD">
      <w:pPr>
        <w:spacing w:after="0" w:line="240" w:lineRule="auto"/>
        <w:rPr>
          <w:rFonts w:ascii="Arial" w:eastAsia="Times New Roman" w:hAnsi="Arial" w:cs="Times New Roman"/>
          <w:b/>
          <w:bCs/>
          <w:sz w:val="22"/>
          <w:lang w:val="en-US"/>
        </w:rPr>
      </w:pPr>
    </w:p>
    <w:p w:rsidR="00ED4BDD" w:rsidRDefault="00ED4BDD">
      <w:pPr>
        <w:spacing w:after="0" w:line="240" w:lineRule="auto"/>
        <w:rPr>
          <w:rFonts w:cs="Arial"/>
        </w:rPr>
      </w:pPr>
      <w:r>
        <w:rPr>
          <w:rFonts w:cs="Arial"/>
        </w:rPr>
        <w:t>Without limiting the generality of the Prospectus disclosure required under Article 52 of the Law, the Fund Manager must, in the case of a Public Fund, include in the Prospectus of the Fund:</w:t>
      </w:r>
    </w:p>
    <w:p w:rsidR="00ED4BDD" w:rsidRDefault="00ED4BDD">
      <w:pPr>
        <w:spacing w:after="0" w:line="240" w:lineRule="auto"/>
        <w:rPr>
          <w:rFonts w:cs="Arial"/>
        </w:rPr>
      </w:pPr>
    </w:p>
    <w:p w:rsidR="00ED4BDD" w:rsidRDefault="00ED4BDD" w:rsidP="00ED4BDD">
      <w:pPr>
        <w:numPr>
          <w:ilvl w:val="1"/>
          <w:numId w:val="3"/>
        </w:numPr>
        <w:tabs>
          <w:tab w:val="clear" w:pos="1800"/>
          <w:tab w:val="num" w:pos="567"/>
        </w:tabs>
        <w:spacing w:after="0" w:line="240" w:lineRule="auto"/>
        <w:ind w:hanging="1658"/>
        <w:jc w:val="both"/>
        <w:rPr>
          <w:rFonts w:cs="Arial"/>
        </w:rPr>
      </w:pPr>
      <w:r>
        <w:rPr>
          <w:rFonts w:cs="Arial"/>
        </w:rPr>
        <w:t>the information in App 7</w:t>
      </w:r>
      <w:r w:rsidR="005F323F">
        <w:rPr>
          <w:rFonts w:cs="Arial"/>
        </w:rPr>
        <w:t xml:space="preserve"> (see below)</w:t>
      </w:r>
      <w:r>
        <w:rPr>
          <w:rFonts w:cs="Arial"/>
        </w:rPr>
        <w:t xml:space="preserve">; </w:t>
      </w:r>
    </w:p>
    <w:p w:rsidR="00ED4BDD" w:rsidRDefault="00ED4BDD" w:rsidP="00ED4BDD">
      <w:pPr>
        <w:spacing w:after="0" w:line="240" w:lineRule="auto"/>
        <w:ind w:left="1800"/>
        <w:jc w:val="both"/>
        <w:rPr>
          <w:rFonts w:cs="Arial"/>
        </w:rPr>
      </w:pPr>
    </w:p>
    <w:p w:rsidR="00ED4BDD" w:rsidRDefault="00ED4BDD" w:rsidP="00ED4BDD">
      <w:pPr>
        <w:numPr>
          <w:ilvl w:val="1"/>
          <w:numId w:val="3"/>
        </w:numPr>
        <w:tabs>
          <w:tab w:val="clear" w:pos="1800"/>
          <w:tab w:val="num" w:pos="567"/>
        </w:tabs>
        <w:spacing w:after="0" w:line="240" w:lineRule="auto"/>
        <w:ind w:left="567" w:hanging="425"/>
        <w:jc w:val="both"/>
        <w:rPr>
          <w:rFonts w:cs="Arial"/>
        </w:rPr>
      </w:pPr>
      <w:r>
        <w:rPr>
          <w:rFonts w:cs="Arial"/>
        </w:rPr>
        <w:t xml:space="preserve">if it is a specialist class of a Public Fund, any information as is relevant to that specialist class of Fund as set out in </w:t>
      </w:r>
      <w:r w:rsidR="005F323F">
        <w:rPr>
          <w:rFonts w:cs="Arial"/>
        </w:rPr>
        <w:t xml:space="preserve">CIR </w:t>
      </w:r>
      <w:r>
        <w:rPr>
          <w:rFonts w:cs="Arial"/>
        </w:rPr>
        <w:t xml:space="preserve"> 14.4; and </w:t>
      </w:r>
    </w:p>
    <w:p w:rsidR="00ED4BDD" w:rsidRDefault="00ED4BDD" w:rsidP="00ED4BDD">
      <w:pPr>
        <w:spacing w:after="0" w:line="240" w:lineRule="auto"/>
        <w:jc w:val="both"/>
        <w:rPr>
          <w:rFonts w:cs="Arial"/>
        </w:rPr>
      </w:pPr>
    </w:p>
    <w:p w:rsidR="00ED4BDD" w:rsidRDefault="00ED4BDD" w:rsidP="00ED4BDD">
      <w:pPr>
        <w:numPr>
          <w:ilvl w:val="1"/>
          <w:numId w:val="3"/>
        </w:numPr>
        <w:tabs>
          <w:tab w:val="clear" w:pos="1800"/>
          <w:tab w:val="num" w:pos="567"/>
        </w:tabs>
        <w:spacing w:after="0" w:line="240" w:lineRule="auto"/>
        <w:ind w:hanging="1658"/>
        <w:jc w:val="both"/>
        <w:rPr>
          <w:rFonts w:cs="Arial"/>
        </w:rPr>
      </w:pPr>
      <w:r>
        <w:rPr>
          <w:rFonts w:cs="Arial"/>
        </w:rPr>
        <w:t xml:space="preserve">the mandatory statement required under </w:t>
      </w:r>
      <w:r w:rsidR="005F323F">
        <w:rPr>
          <w:rFonts w:cs="Arial"/>
        </w:rPr>
        <w:t>CIR</w:t>
      </w:r>
      <w:r>
        <w:rPr>
          <w:rFonts w:cs="Arial"/>
        </w:rPr>
        <w:t xml:space="preserve"> 14.3.3. </w:t>
      </w:r>
    </w:p>
    <w:p w:rsidR="00ED4BDD" w:rsidRDefault="005F323F" w:rsidP="00E32921">
      <w:pPr>
        <w:spacing w:before="240" w:after="0" w:line="240" w:lineRule="auto"/>
        <w:rPr>
          <w:rFonts w:ascii="Arial" w:eastAsia="Times New Roman" w:hAnsi="Arial" w:cs="Times New Roman"/>
          <w:b/>
          <w:szCs w:val="20"/>
          <w:lang w:val="en-US"/>
        </w:rPr>
      </w:pPr>
      <w:r w:rsidRPr="00E32921">
        <w:rPr>
          <w:rFonts w:ascii="Arial" w:eastAsia="Times New Roman" w:hAnsi="Arial" w:cs="Times New Roman"/>
          <w:b/>
          <w:sz w:val="22"/>
          <w:lang w:val="en-US"/>
        </w:rPr>
        <w:t xml:space="preserve"> CIR </w:t>
      </w:r>
      <w:r>
        <w:rPr>
          <w:rFonts w:ascii="Arial" w:eastAsia="Times New Roman" w:hAnsi="Arial" w:cs="Times New Roman"/>
          <w:b/>
          <w:sz w:val="22"/>
          <w:lang w:val="en-US"/>
        </w:rPr>
        <w:t>A 7.1 Mandatory contents of a P</w:t>
      </w:r>
      <w:r w:rsidRPr="00E32921">
        <w:rPr>
          <w:rFonts w:ascii="Arial" w:eastAsia="Times New Roman" w:hAnsi="Arial" w:cs="Times New Roman"/>
          <w:b/>
          <w:sz w:val="22"/>
          <w:lang w:val="en-US"/>
        </w:rPr>
        <w:t>rospectus of a Public Fund</w:t>
      </w:r>
    </w:p>
    <w:p w:rsidR="005F323F" w:rsidRPr="00E32921" w:rsidRDefault="005F323F" w:rsidP="00E32921">
      <w:pPr>
        <w:spacing w:before="240" w:after="0" w:line="240" w:lineRule="auto"/>
        <w:rPr>
          <w:rFonts w:ascii="Arial" w:eastAsia="Times New Roman" w:hAnsi="Arial" w:cs="Times New Roman"/>
          <w:szCs w:val="20"/>
          <w:lang w:val="en-US"/>
        </w:rPr>
      </w:pPr>
      <w:r w:rsidRPr="00E32921">
        <w:rPr>
          <w:rFonts w:ascii="Arial" w:eastAsia="Times New Roman" w:hAnsi="Arial" w:cs="Times New Roman"/>
          <w:szCs w:val="20"/>
          <w:lang w:val="en-US"/>
        </w:rPr>
        <w:t>A7.1.1 The Prospectus for a Public Fund must contain the information prescribed in the following table.</w:t>
      </w:r>
    </w:p>
    <w:p w:rsidR="00ED4BDD" w:rsidRPr="00E32921" w:rsidRDefault="00ED4BDD">
      <w:pPr>
        <w:spacing w:after="0" w:line="240" w:lineRule="auto"/>
        <w:rPr>
          <w:rFonts w:ascii="Arial" w:eastAsia="Times New Roman" w:hAnsi="Arial" w:cs="Times New Roman"/>
          <w:szCs w:val="20"/>
          <w:lang w:val="en-US"/>
        </w:rPr>
      </w:pPr>
    </w:p>
    <w:tbl>
      <w:tblPr>
        <w:tblStyle w:val="TableGrid"/>
        <w:tblW w:w="9322" w:type="dxa"/>
        <w:tblLook w:val="04A0" w:firstRow="1" w:lastRow="0" w:firstColumn="1" w:lastColumn="0" w:noHBand="0" w:noVBand="1"/>
      </w:tblPr>
      <w:tblGrid>
        <w:gridCol w:w="5211"/>
        <w:gridCol w:w="2127"/>
        <w:gridCol w:w="1984"/>
      </w:tblGrid>
      <w:tr w:rsidR="00054858">
        <w:trPr>
          <w:tblHeader/>
        </w:trPr>
        <w:tc>
          <w:tcPr>
            <w:tcW w:w="5211" w:type="dxa"/>
            <w:shd w:val="clear" w:color="auto" w:fill="BFBFBF" w:themeFill="background1" w:themeFillShade="BF"/>
          </w:tcPr>
          <w:p w:rsidR="00054858" w:rsidRDefault="00C3101D">
            <w:pPr>
              <w:spacing w:after="0" w:line="240" w:lineRule="auto"/>
              <w:rPr>
                <w:rFonts w:ascii="Arial" w:eastAsia="Times New Roman" w:hAnsi="Arial" w:cs="Times New Roman"/>
                <w:b/>
                <w:szCs w:val="20"/>
                <w:lang w:val="en-US"/>
              </w:rPr>
            </w:pPr>
            <w:r>
              <w:rPr>
                <w:rFonts w:ascii="Arial" w:eastAsia="Times New Roman" w:hAnsi="Arial" w:cs="Times New Roman"/>
                <w:b/>
                <w:szCs w:val="20"/>
                <w:lang w:val="en-US"/>
              </w:rPr>
              <w:t>Rule</w:t>
            </w:r>
          </w:p>
        </w:tc>
        <w:tc>
          <w:tcPr>
            <w:tcW w:w="2127" w:type="dxa"/>
            <w:shd w:val="clear" w:color="auto" w:fill="BFBFBF" w:themeFill="background1" w:themeFillShade="BF"/>
            <w:vAlign w:val="center"/>
          </w:tcPr>
          <w:p w:rsidR="00054858" w:rsidRDefault="00C3101D">
            <w:pPr>
              <w:spacing w:before="40" w:after="40" w:line="240" w:lineRule="auto"/>
              <w:jc w:val="both"/>
              <w:rPr>
                <w:rFonts w:ascii="Arial" w:eastAsia="Times New Roman" w:hAnsi="Arial" w:cs="Arial"/>
                <w:b/>
                <w:szCs w:val="20"/>
                <w:lang w:eastAsia="en-GB"/>
              </w:rPr>
            </w:pPr>
            <w:r>
              <w:rPr>
                <w:rFonts w:ascii="Arial" w:eastAsia="Times New Roman" w:hAnsi="Arial" w:cs="Arial"/>
                <w:b/>
                <w:szCs w:val="20"/>
                <w:lang w:eastAsia="en-GB"/>
              </w:rPr>
              <w:t>Page Reference</w:t>
            </w:r>
          </w:p>
        </w:tc>
        <w:tc>
          <w:tcPr>
            <w:tcW w:w="1984" w:type="dxa"/>
            <w:shd w:val="clear" w:color="auto" w:fill="BFBFBF" w:themeFill="background1" w:themeFillShade="BF"/>
            <w:vAlign w:val="center"/>
          </w:tcPr>
          <w:p w:rsidR="00054858" w:rsidRDefault="00C3101D">
            <w:pPr>
              <w:spacing w:before="40" w:after="40" w:line="240" w:lineRule="auto"/>
              <w:jc w:val="both"/>
              <w:rPr>
                <w:rFonts w:ascii="Arial" w:eastAsia="Times New Roman" w:hAnsi="Arial" w:cs="Arial"/>
                <w:b/>
                <w:szCs w:val="20"/>
                <w:lang w:eastAsia="en-GB"/>
              </w:rPr>
            </w:pPr>
            <w:r>
              <w:rPr>
                <w:rFonts w:ascii="Arial" w:eastAsia="Times New Roman" w:hAnsi="Arial" w:cs="Arial"/>
                <w:b/>
                <w:szCs w:val="20"/>
                <w:lang w:eastAsia="en-GB"/>
              </w:rPr>
              <w:t>Comment</w:t>
            </w:r>
          </w:p>
        </w:tc>
      </w:tr>
      <w:tr w:rsidR="00054858">
        <w:tc>
          <w:tcPr>
            <w:tcW w:w="9322" w:type="dxa"/>
            <w:gridSpan w:val="3"/>
          </w:tcPr>
          <w:p w:rsidR="00054858" w:rsidRPr="00D85AD4" w:rsidRDefault="00C3101D" w:rsidP="00D85AD4">
            <w:pPr>
              <w:pStyle w:val="ListParagraph"/>
              <w:numPr>
                <w:ilvl w:val="0"/>
                <w:numId w:val="11"/>
              </w:numPr>
              <w:rPr>
                <w:rFonts w:ascii="Arial" w:eastAsia="Times New Roman" w:hAnsi="Arial" w:cs="Arial"/>
                <w:szCs w:val="20"/>
                <w:lang w:val="en-US"/>
              </w:rPr>
            </w:pPr>
            <w:r w:rsidRPr="00D85AD4">
              <w:rPr>
                <w:rFonts w:ascii="Arial" w:eastAsia="Times New Roman" w:hAnsi="Arial" w:cs="Times New Roman"/>
                <w:b/>
                <w:szCs w:val="20"/>
                <w:lang w:val="en-US"/>
              </w:rPr>
              <w:t>Document Status</w:t>
            </w:r>
          </w:p>
        </w:tc>
      </w:tr>
      <w:tr w:rsidR="00054858">
        <w:tc>
          <w:tcPr>
            <w:tcW w:w="5211" w:type="dxa"/>
          </w:tcPr>
          <w:p w:rsidR="00054858" w:rsidRDefault="00C3101D">
            <w:pPr>
              <w:spacing w:after="0" w:line="240" w:lineRule="auto"/>
              <w:rPr>
                <w:rFonts w:ascii="Arial" w:eastAsia="Times New Roman" w:hAnsi="Arial" w:cs="Times New Roman"/>
                <w:sz w:val="22"/>
                <w:lang w:val="en-US"/>
              </w:rPr>
            </w:pPr>
            <w:r>
              <w:rPr>
                <w:rFonts w:cs="Arial"/>
              </w:rPr>
              <w:t xml:space="preserve">A statement that this document is the </w:t>
            </w:r>
            <w:hyperlink r:id="rId8" w:anchor="G924" w:tgtFrame="w_glossary" w:history="1">
              <w:r>
                <w:rPr>
                  <w:rFonts w:cs="Arial"/>
                  <w:iCs/>
                  <w:shd w:val="clear" w:color="auto" w:fill="FFFFFF"/>
                </w:rPr>
                <w:t>Prospectus</w:t>
              </w:r>
            </w:hyperlink>
            <w:r>
              <w:rPr>
                <w:rFonts w:cs="Arial"/>
              </w:rPr>
              <w:t xml:space="preserve"> of the Public Fund valid as at a particular date which shall be the date of the Prospectus.</w:t>
            </w:r>
          </w:p>
        </w:tc>
        <w:tc>
          <w:tcPr>
            <w:tcW w:w="2127" w:type="dxa"/>
          </w:tcPr>
          <w:p w:rsidR="00054858" w:rsidRDefault="00054858"/>
        </w:tc>
        <w:tc>
          <w:tcPr>
            <w:tcW w:w="1984" w:type="dxa"/>
          </w:tcPr>
          <w:p w:rsidR="00054858" w:rsidRDefault="00B51306">
            <w:r>
              <w:rPr>
                <w:rFonts w:ascii="Arial" w:eastAsia="Times New Roman" w:hAnsi="Arial" w:cs="Arial"/>
                <w:szCs w:val="20"/>
                <w:lang w:val="en-US"/>
              </w:rPr>
              <w:t xml:space="preserve"> </w:t>
            </w:r>
          </w:p>
        </w:tc>
      </w:tr>
      <w:tr w:rsidR="00054858">
        <w:tc>
          <w:tcPr>
            <w:tcW w:w="9322" w:type="dxa"/>
            <w:gridSpan w:val="3"/>
          </w:tcPr>
          <w:p w:rsidR="00054858" w:rsidRPr="00D85AD4" w:rsidRDefault="00C3101D" w:rsidP="00D85AD4">
            <w:pPr>
              <w:pStyle w:val="ListParagraph"/>
              <w:numPr>
                <w:ilvl w:val="0"/>
                <w:numId w:val="11"/>
              </w:numPr>
              <w:spacing w:after="0" w:line="240" w:lineRule="auto"/>
              <w:rPr>
                <w:rFonts w:ascii="Arial" w:eastAsia="Times New Roman" w:hAnsi="Arial" w:cs="Times New Roman"/>
                <w:b/>
                <w:szCs w:val="20"/>
                <w:lang w:val="en-US"/>
              </w:rPr>
            </w:pPr>
            <w:r w:rsidRPr="00D85AD4">
              <w:rPr>
                <w:rFonts w:ascii="Arial" w:eastAsia="Times New Roman" w:hAnsi="Arial" w:cs="Times New Roman"/>
                <w:b/>
                <w:szCs w:val="20"/>
                <w:lang w:val="en-US"/>
              </w:rPr>
              <w:t>Description of the Fund</w:t>
            </w:r>
          </w:p>
        </w:tc>
      </w:tr>
      <w:tr w:rsidR="00054858">
        <w:tc>
          <w:tcPr>
            <w:tcW w:w="5211" w:type="dxa"/>
          </w:tcPr>
          <w:p w:rsidR="00041F24" w:rsidRPr="00E32921" w:rsidRDefault="00041F24" w:rsidP="00E32921">
            <w:pPr>
              <w:tabs>
                <w:tab w:val="left" w:pos="492"/>
              </w:tabs>
              <w:jc w:val="both"/>
              <w:rPr>
                <w:rFonts w:cs="Arial"/>
              </w:rPr>
            </w:pPr>
            <w:r>
              <w:rPr>
                <w:rFonts w:cs="Arial"/>
              </w:rPr>
              <w:t>Information detailing:</w:t>
            </w:r>
          </w:p>
          <w:p w:rsidR="00054858" w:rsidRDefault="00C3101D" w:rsidP="002A2997">
            <w:pPr>
              <w:pStyle w:val="ListParagraph"/>
              <w:numPr>
                <w:ilvl w:val="0"/>
                <w:numId w:val="1"/>
              </w:numPr>
              <w:tabs>
                <w:tab w:val="left" w:pos="492"/>
              </w:tabs>
              <w:jc w:val="both"/>
              <w:rPr>
                <w:rFonts w:cs="Arial"/>
              </w:rPr>
            </w:pPr>
            <w:r>
              <w:rPr>
                <w:rFonts w:cs="Arial"/>
              </w:rPr>
              <w:t xml:space="preserve">the name of the </w:t>
            </w:r>
            <w:hyperlink r:id="rId9" w:anchor="G86" w:tgtFrame="w_glossary" w:history="1">
              <w:r>
                <w:rPr>
                  <w:rFonts w:cs="Arial"/>
                </w:rPr>
                <w:t>Fund</w:t>
              </w:r>
            </w:hyperlink>
            <w:r>
              <w:rPr>
                <w:rFonts w:cs="Arial"/>
              </w:rPr>
              <w:t xml:space="preserve"> and that the </w:t>
            </w:r>
            <w:hyperlink r:id="rId10" w:anchor="G86" w:tgtFrame="w_glossary" w:history="1">
              <w:r>
                <w:rPr>
                  <w:rFonts w:cs="Arial"/>
                </w:rPr>
                <w:t>Fund</w:t>
              </w:r>
            </w:hyperlink>
            <w:r>
              <w:rPr>
                <w:rFonts w:cs="Arial"/>
              </w:rPr>
              <w:t xml:space="preserve"> is a Public Fund established in the DIFC</w:t>
            </w:r>
            <w:r w:rsidR="00207F38">
              <w:rPr>
                <w:rFonts w:cs="Arial"/>
              </w:rPr>
              <w:t>;</w:t>
            </w:r>
          </w:p>
        </w:tc>
        <w:tc>
          <w:tcPr>
            <w:tcW w:w="2127" w:type="dxa"/>
          </w:tcPr>
          <w:p w:rsidR="00054858" w:rsidRDefault="00054858" w:rsidP="00B10F5A"/>
        </w:tc>
        <w:tc>
          <w:tcPr>
            <w:tcW w:w="1984" w:type="dxa"/>
          </w:tcPr>
          <w:p w:rsidR="00054858" w:rsidRDefault="00054858" w:rsidP="005A05EB"/>
        </w:tc>
      </w:tr>
      <w:tr w:rsidR="00054858">
        <w:tc>
          <w:tcPr>
            <w:tcW w:w="5211" w:type="dxa"/>
          </w:tcPr>
          <w:p w:rsidR="00054858" w:rsidRDefault="00C3101D" w:rsidP="002A2997">
            <w:pPr>
              <w:pStyle w:val="ListParagraph"/>
              <w:numPr>
                <w:ilvl w:val="0"/>
                <w:numId w:val="1"/>
              </w:numPr>
              <w:spacing w:after="0" w:line="240" w:lineRule="auto"/>
              <w:rPr>
                <w:rFonts w:ascii="Arial" w:eastAsia="Times New Roman" w:hAnsi="Arial" w:cs="Times New Roman"/>
                <w:szCs w:val="20"/>
                <w:lang w:val="en-US"/>
              </w:rPr>
            </w:pPr>
            <w:r>
              <w:rPr>
                <w:rFonts w:cs="Arial"/>
              </w:rPr>
              <w:lastRenderedPageBreak/>
              <w:t xml:space="preserve">the effective date of commencement of the Fund’s operations and, if the duration of the </w:t>
            </w:r>
            <w:hyperlink r:id="rId11" w:anchor="G86" w:tgtFrame="w_glossary" w:history="1">
              <w:r>
                <w:rPr>
                  <w:rFonts w:cs="Arial"/>
                </w:rPr>
                <w:t>Fund</w:t>
              </w:r>
            </w:hyperlink>
            <w:r>
              <w:rPr>
                <w:rFonts w:cs="Arial"/>
              </w:rPr>
              <w:t xml:space="preserve"> is not unlimited, when it will or may terminate</w:t>
            </w:r>
            <w:r w:rsidR="00207F38">
              <w:rPr>
                <w:rFonts w:cs="Arial"/>
              </w:rPr>
              <w:t>;</w:t>
            </w:r>
          </w:p>
        </w:tc>
        <w:tc>
          <w:tcPr>
            <w:tcW w:w="2127" w:type="dxa"/>
          </w:tcPr>
          <w:p w:rsidR="00054858" w:rsidRDefault="00054858" w:rsidP="005A05EB"/>
        </w:tc>
        <w:tc>
          <w:tcPr>
            <w:tcW w:w="1984" w:type="dxa"/>
          </w:tcPr>
          <w:p w:rsidR="00054858" w:rsidRDefault="00B51306" w:rsidP="006444AC">
            <w:r>
              <w:rPr>
                <w:rFonts w:ascii="Arial" w:eastAsia="Times New Roman" w:hAnsi="Arial" w:cs="Arial"/>
                <w:szCs w:val="20"/>
                <w:lang w:val="en-US"/>
              </w:rPr>
              <w:t xml:space="preserve"> </w:t>
            </w:r>
          </w:p>
        </w:tc>
      </w:tr>
      <w:tr w:rsidR="00054858">
        <w:tc>
          <w:tcPr>
            <w:tcW w:w="5211" w:type="dxa"/>
          </w:tcPr>
          <w:p w:rsidR="00054858" w:rsidRDefault="00C3101D" w:rsidP="002A2997">
            <w:pPr>
              <w:pStyle w:val="ListParagraph"/>
              <w:numPr>
                <w:ilvl w:val="0"/>
                <w:numId w:val="1"/>
              </w:numPr>
              <w:tabs>
                <w:tab w:val="left" w:pos="492"/>
              </w:tabs>
              <w:jc w:val="both"/>
              <w:rPr>
                <w:rFonts w:cs="Arial"/>
              </w:rPr>
            </w:pPr>
            <w:r>
              <w:rPr>
                <w:rFonts w:cs="Arial"/>
              </w:rPr>
              <w:t>the legal structure of the Fund, and if the Fund is a specialist class of Fund as defined in chapter 3</w:t>
            </w:r>
            <w:r w:rsidR="00207F38">
              <w:rPr>
                <w:rFonts w:cs="Arial"/>
              </w:rPr>
              <w:t xml:space="preserve"> of CIR</w:t>
            </w:r>
            <w:r>
              <w:rPr>
                <w:rFonts w:cs="Arial"/>
              </w:rPr>
              <w:t>, the relevant specialist class of the Fund it is, and whether it is a Listed Fund or intends to be Listed</w:t>
            </w:r>
            <w:r w:rsidR="00207F38">
              <w:rPr>
                <w:rFonts w:cs="Arial"/>
              </w:rPr>
              <w:t>;</w:t>
            </w:r>
          </w:p>
        </w:tc>
        <w:tc>
          <w:tcPr>
            <w:tcW w:w="2127" w:type="dxa"/>
          </w:tcPr>
          <w:p w:rsidR="00054858" w:rsidRDefault="00054858" w:rsidP="005A05EB"/>
        </w:tc>
        <w:tc>
          <w:tcPr>
            <w:tcW w:w="1984" w:type="dxa"/>
          </w:tcPr>
          <w:p w:rsidR="00054858" w:rsidRDefault="00054858"/>
        </w:tc>
      </w:tr>
      <w:tr w:rsidR="00054858">
        <w:tc>
          <w:tcPr>
            <w:tcW w:w="5211" w:type="dxa"/>
          </w:tcPr>
          <w:p w:rsidR="00054858" w:rsidRDefault="00C3101D" w:rsidP="002A2997">
            <w:pPr>
              <w:pStyle w:val="ListParagraph"/>
              <w:numPr>
                <w:ilvl w:val="0"/>
                <w:numId w:val="1"/>
              </w:numPr>
              <w:spacing w:after="0" w:line="240" w:lineRule="auto"/>
              <w:rPr>
                <w:rFonts w:ascii="Arial" w:eastAsia="Times New Roman" w:hAnsi="Arial" w:cs="Times New Roman"/>
                <w:szCs w:val="20"/>
                <w:lang w:val="en-US"/>
              </w:rPr>
            </w:pPr>
            <w:r>
              <w:rPr>
                <w:rFonts w:cs="Arial"/>
              </w:rPr>
              <w:t>the basis upon which Persons are eligible to participate in the Fund and, where applicable, the minimum initial investment</w:t>
            </w:r>
            <w:r w:rsidR="00207F38">
              <w:rPr>
                <w:rFonts w:cs="Arial"/>
              </w:rPr>
              <w:t>;</w:t>
            </w:r>
          </w:p>
        </w:tc>
        <w:tc>
          <w:tcPr>
            <w:tcW w:w="2127" w:type="dxa"/>
          </w:tcPr>
          <w:p w:rsidR="00054858" w:rsidRDefault="00054858"/>
        </w:tc>
        <w:tc>
          <w:tcPr>
            <w:tcW w:w="1984" w:type="dxa"/>
          </w:tcPr>
          <w:p w:rsidR="00054858" w:rsidRDefault="00054858"/>
        </w:tc>
      </w:tr>
      <w:tr w:rsidR="00054858">
        <w:tc>
          <w:tcPr>
            <w:tcW w:w="5211" w:type="dxa"/>
          </w:tcPr>
          <w:p w:rsidR="00054858" w:rsidRDefault="00C3101D" w:rsidP="002A2997">
            <w:pPr>
              <w:pStyle w:val="ListParagraph"/>
              <w:numPr>
                <w:ilvl w:val="0"/>
                <w:numId w:val="1"/>
              </w:numPr>
              <w:tabs>
                <w:tab w:val="left" w:pos="492"/>
              </w:tabs>
              <w:jc w:val="both"/>
              <w:rPr>
                <w:rFonts w:cs="Arial"/>
              </w:rPr>
            </w:pPr>
            <w:r>
              <w:rPr>
                <w:rFonts w:cs="Arial"/>
              </w:rPr>
              <w:t xml:space="preserve">that the </w:t>
            </w:r>
            <w:hyperlink r:id="rId12" w:anchor="G1233" w:tgtFrame="w_glossary" w:history="1">
              <w:r>
                <w:rPr>
                  <w:rFonts w:cs="Arial"/>
                </w:rPr>
                <w:t>Unitholders</w:t>
              </w:r>
            </w:hyperlink>
            <w:r>
              <w:rPr>
                <w:rFonts w:cs="Arial"/>
              </w:rPr>
              <w:t xml:space="preserve"> are not liable for the debts of the Fund, unless the applicable legislation prescribes otherwise and, if so, a statement specifying those circumstances</w:t>
            </w:r>
            <w:r w:rsidR="00207F38">
              <w:rPr>
                <w:rFonts w:cs="Arial"/>
              </w:rPr>
              <w:t>;</w:t>
            </w:r>
          </w:p>
        </w:tc>
        <w:tc>
          <w:tcPr>
            <w:tcW w:w="2127" w:type="dxa"/>
          </w:tcPr>
          <w:p w:rsidR="00054858" w:rsidRDefault="00054858" w:rsidP="00EF1DEA"/>
        </w:tc>
        <w:tc>
          <w:tcPr>
            <w:tcW w:w="1984" w:type="dxa"/>
          </w:tcPr>
          <w:p w:rsidR="00054858" w:rsidRDefault="00054858"/>
        </w:tc>
      </w:tr>
      <w:tr w:rsidR="00054858">
        <w:tc>
          <w:tcPr>
            <w:tcW w:w="5211" w:type="dxa"/>
          </w:tcPr>
          <w:p w:rsidR="00054858" w:rsidRDefault="00C3101D" w:rsidP="002A2997">
            <w:pPr>
              <w:pStyle w:val="ListParagraph"/>
              <w:numPr>
                <w:ilvl w:val="0"/>
                <w:numId w:val="1"/>
              </w:numPr>
              <w:spacing w:after="0" w:line="240" w:lineRule="auto"/>
              <w:rPr>
                <w:rFonts w:cs="Arial"/>
              </w:rPr>
            </w:pPr>
            <w:r>
              <w:rPr>
                <w:rFonts w:cs="Arial"/>
              </w:rPr>
              <w:t xml:space="preserve">the </w:t>
            </w:r>
            <w:hyperlink r:id="rId13" w:anchor="G103" w:tgtFrame="w_glossary" w:history="1">
              <w:r>
                <w:rPr>
                  <w:rFonts w:cs="Arial"/>
                </w:rPr>
                <w:t>base currency</w:t>
              </w:r>
            </w:hyperlink>
            <w:r>
              <w:rPr>
                <w:rFonts w:cs="Arial"/>
              </w:rPr>
              <w:t xml:space="preserve"> of the </w:t>
            </w:r>
            <w:hyperlink r:id="rId14" w:anchor="G86" w:tgtFrame="w_glossary" w:history="1">
              <w:r>
                <w:rPr>
                  <w:rFonts w:cs="Arial"/>
                </w:rPr>
                <w:t>Fund</w:t>
              </w:r>
            </w:hyperlink>
            <w:r>
              <w:rPr>
                <w:rFonts w:cs="Arial"/>
              </w:rPr>
              <w:t xml:space="preserve"> and where relevant, the maximum and minimum sizes of the Fund’s capital</w:t>
            </w:r>
            <w:r w:rsidR="00207F38">
              <w:rPr>
                <w:rFonts w:cs="Arial"/>
              </w:rPr>
              <w:t>;</w:t>
            </w:r>
          </w:p>
        </w:tc>
        <w:tc>
          <w:tcPr>
            <w:tcW w:w="2127" w:type="dxa"/>
          </w:tcPr>
          <w:p w:rsidR="00054858" w:rsidRDefault="00054858"/>
        </w:tc>
        <w:tc>
          <w:tcPr>
            <w:tcW w:w="1984" w:type="dxa"/>
          </w:tcPr>
          <w:p w:rsidR="00054858" w:rsidRDefault="00054858"/>
        </w:tc>
      </w:tr>
      <w:tr w:rsidR="00054858">
        <w:tc>
          <w:tcPr>
            <w:tcW w:w="5211" w:type="dxa"/>
          </w:tcPr>
          <w:p w:rsidR="00054858" w:rsidRDefault="00C3101D" w:rsidP="002A2997">
            <w:pPr>
              <w:pStyle w:val="ListParagraph"/>
              <w:numPr>
                <w:ilvl w:val="0"/>
                <w:numId w:val="1"/>
              </w:numPr>
              <w:spacing w:after="0" w:line="240" w:lineRule="auto"/>
              <w:rPr>
                <w:rFonts w:cs="Arial"/>
              </w:rPr>
            </w:pPr>
            <w:r>
              <w:rPr>
                <w:rFonts w:cs="Arial"/>
              </w:rPr>
              <w:t xml:space="preserve">the circumstances in which the Fund may be wound up under the Law and the </w:t>
            </w:r>
            <w:r w:rsidR="000B407F">
              <w:rPr>
                <w:rFonts w:cs="Arial"/>
              </w:rPr>
              <w:t xml:space="preserve">CIR </w:t>
            </w:r>
            <w:r>
              <w:rPr>
                <w:rFonts w:cs="Arial"/>
              </w:rPr>
              <w:t xml:space="preserve">Rules and a summary of the procedure for, and the rights of </w:t>
            </w:r>
            <w:hyperlink r:id="rId15" w:anchor="G1233" w:tgtFrame="w_glossary" w:history="1">
              <w:r>
                <w:rPr>
                  <w:rFonts w:cs="Arial"/>
                </w:rPr>
                <w:t>Unitholders</w:t>
              </w:r>
            </w:hyperlink>
            <w:r>
              <w:rPr>
                <w:rFonts w:cs="Arial"/>
              </w:rPr>
              <w:t xml:space="preserve"> under, such a winding up</w:t>
            </w:r>
            <w:r w:rsidR="00207F38">
              <w:rPr>
                <w:rFonts w:cs="Arial"/>
              </w:rPr>
              <w:t>;</w:t>
            </w:r>
          </w:p>
          <w:p w:rsidR="00054858" w:rsidRDefault="00054858">
            <w:pPr>
              <w:pStyle w:val="ListParagraph"/>
              <w:spacing w:after="0" w:line="240" w:lineRule="auto"/>
              <w:ind w:left="720"/>
              <w:rPr>
                <w:rFonts w:cs="Arial"/>
              </w:rPr>
            </w:pPr>
          </w:p>
        </w:tc>
        <w:tc>
          <w:tcPr>
            <w:tcW w:w="2127" w:type="dxa"/>
          </w:tcPr>
          <w:p w:rsidR="00054858" w:rsidRDefault="00054858" w:rsidP="00DC62A6"/>
        </w:tc>
        <w:tc>
          <w:tcPr>
            <w:tcW w:w="1984" w:type="dxa"/>
          </w:tcPr>
          <w:p w:rsidR="00054858" w:rsidRDefault="00B51306">
            <w:r>
              <w:rPr>
                <w:rFonts w:ascii="Arial" w:eastAsia="Times New Roman" w:hAnsi="Arial" w:cs="Arial"/>
                <w:szCs w:val="20"/>
                <w:lang w:val="en-US"/>
              </w:rPr>
              <w:t xml:space="preserve"> </w:t>
            </w:r>
          </w:p>
        </w:tc>
      </w:tr>
      <w:tr w:rsidR="00054858">
        <w:tc>
          <w:tcPr>
            <w:tcW w:w="5211" w:type="dxa"/>
          </w:tcPr>
          <w:p w:rsidR="00054858" w:rsidRDefault="00C3101D" w:rsidP="002A2997">
            <w:pPr>
              <w:pStyle w:val="ListParagraph"/>
              <w:numPr>
                <w:ilvl w:val="0"/>
                <w:numId w:val="1"/>
              </w:numPr>
              <w:tabs>
                <w:tab w:val="left" w:pos="492"/>
              </w:tabs>
              <w:jc w:val="both"/>
              <w:rPr>
                <w:rFonts w:cs="Arial"/>
              </w:rPr>
            </w:pPr>
            <w:r>
              <w:rPr>
                <w:rFonts w:cs="Arial"/>
              </w:rPr>
              <w:t>if the Fund is an Umbrella Fund, whether it is constituted as a Protected Cell Company or not</w:t>
            </w:r>
            <w:r w:rsidR="00207F38">
              <w:rPr>
                <w:rFonts w:cs="Arial"/>
              </w:rPr>
              <w:t>; and</w:t>
            </w:r>
          </w:p>
        </w:tc>
        <w:tc>
          <w:tcPr>
            <w:tcW w:w="2127" w:type="dxa"/>
          </w:tcPr>
          <w:p w:rsidR="00054858" w:rsidRDefault="00054858"/>
        </w:tc>
        <w:tc>
          <w:tcPr>
            <w:tcW w:w="1984" w:type="dxa"/>
          </w:tcPr>
          <w:p w:rsidR="00054858" w:rsidRDefault="00054858"/>
        </w:tc>
      </w:tr>
      <w:tr w:rsidR="00054858">
        <w:tc>
          <w:tcPr>
            <w:tcW w:w="5211" w:type="dxa"/>
          </w:tcPr>
          <w:p w:rsidR="00054858" w:rsidRDefault="00C3101D" w:rsidP="002A2997">
            <w:pPr>
              <w:pStyle w:val="ListParagraph"/>
              <w:numPr>
                <w:ilvl w:val="0"/>
                <w:numId w:val="1"/>
              </w:numPr>
              <w:tabs>
                <w:tab w:val="left" w:pos="492"/>
              </w:tabs>
              <w:jc w:val="both"/>
              <w:rPr>
                <w:rFonts w:cs="Arial"/>
              </w:rPr>
            </w:pPr>
            <w:r>
              <w:rPr>
                <w:rFonts w:cs="Arial"/>
              </w:rPr>
              <w:t>that no Units will be issued on the basis of the Prospectus after the expiry date specified in the Prospectus.</w:t>
            </w:r>
          </w:p>
          <w:p w:rsidR="00054858" w:rsidRDefault="00054858">
            <w:pPr>
              <w:pStyle w:val="ListParagraph"/>
              <w:spacing w:after="0" w:line="240" w:lineRule="auto"/>
              <w:ind w:left="360"/>
              <w:rPr>
                <w:rFonts w:cs="Arial"/>
                <w:b/>
              </w:rPr>
            </w:pPr>
          </w:p>
        </w:tc>
        <w:tc>
          <w:tcPr>
            <w:tcW w:w="2127" w:type="dxa"/>
          </w:tcPr>
          <w:p w:rsidR="00054858" w:rsidRDefault="00054858"/>
        </w:tc>
        <w:tc>
          <w:tcPr>
            <w:tcW w:w="1984" w:type="dxa"/>
          </w:tcPr>
          <w:p w:rsidR="00054858" w:rsidRDefault="001A3F43">
            <w:r>
              <w:rPr>
                <w:rFonts w:ascii="Arial" w:eastAsia="Times New Roman" w:hAnsi="Arial" w:cs="Arial"/>
                <w:szCs w:val="20"/>
                <w:lang w:val="en-US"/>
              </w:rPr>
              <w:t xml:space="preserve"> </w:t>
            </w:r>
          </w:p>
        </w:tc>
      </w:tr>
      <w:tr w:rsidR="00054858">
        <w:tc>
          <w:tcPr>
            <w:tcW w:w="9322" w:type="dxa"/>
            <w:gridSpan w:val="3"/>
          </w:tcPr>
          <w:p w:rsidR="00054858" w:rsidRPr="00D85AD4" w:rsidRDefault="00C3101D">
            <w:pPr>
              <w:pStyle w:val="ListParagraph"/>
              <w:numPr>
                <w:ilvl w:val="0"/>
                <w:numId w:val="11"/>
              </w:numPr>
              <w:spacing w:after="0" w:line="240" w:lineRule="auto"/>
              <w:rPr>
                <w:rFonts w:ascii="Arial" w:eastAsia="Times New Roman" w:hAnsi="Arial" w:cs="Times New Roman"/>
                <w:b/>
                <w:szCs w:val="20"/>
                <w:lang w:val="en-US"/>
              </w:rPr>
            </w:pPr>
            <w:r w:rsidRPr="00D85AD4">
              <w:rPr>
                <w:rFonts w:cs="Arial"/>
                <w:b/>
              </w:rPr>
              <w:t xml:space="preserve">Investment </w:t>
            </w:r>
            <w:r w:rsidR="000B407F">
              <w:rPr>
                <w:rFonts w:cs="Arial"/>
                <w:b/>
              </w:rPr>
              <w:t>o</w:t>
            </w:r>
            <w:r w:rsidRPr="00D85AD4">
              <w:rPr>
                <w:rFonts w:cs="Arial"/>
                <w:b/>
              </w:rPr>
              <w:t xml:space="preserve">bjectives </w:t>
            </w:r>
            <w:r w:rsidR="00523559" w:rsidRPr="00D85AD4">
              <w:rPr>
                <w:rFonts w:cs="Arial"/>
                <w:b/>
              </w:rPr>
              <w:t xml:space="preserve">and policy </w:t>
            </w:r>
          </w:p>
        </w:tc>
      </w:tr>
      <w:tr w:rsidR="00054858">
        <w:trPr>
          <w:trHeight w:val="247"/>
        </w:trPr>
        <w:tc>
          <w:tcPr>
            <w:tcW w:w="9322" w:type="dxa"/>
            <w:gridSpan w:val="3"/>
          </w:tcPr>
          <w:p w:rsidR="00054858" w:rsidRDefault="00C3101D" w:rsidP="002A2997">
            <w:pPr>
              <w:pStyle w:val="ListParagraph"/>
              <w:numPr>
                <w:ilvl w:val="0"/>
                <w:numId w:val="2"/>
              </w:numPr>
              <w:spacing w:after="0" w:line="240" w:lineRule="auto"/>
              <w:ind w:left="426" w:hanging="426"/>
              <w:rPr>
                <w:rFonts w:cs="Arial"/>
              </w:rPr>
            </w:pPr>
            <w:r>
              <w:rPr>
                <w:rFonts w:cs="Arial"/>
              </w:rPr>
              <w:t xml:space="preserve">Sufficient information to enable a </w:t>
            </w:r>
            <w:hyperlink r:id="rId16" w:anchor="G1233" w:tgtFrame="w_glossary" w:history="1">
              <w:r>
                <w:rPr>
                  <w:rFonts w:cs="Arial"/>
                  <w:iCs/>
                  <w:shd w:val="clear" w:color="auto" w:fill="FFFFFF"/>
                </w:rPr>
                <w:t>Unitholder</w:t>
              </w:r>
            </w:hyperlink>
            <w:r>
              <w:rPr>
                <w:rFonts w:cs="Arial"/>
              </w:rPr>
              <w:t xml:space="preserve"> or prospective Unitholder to ascertain:</w:t>
            </w:r>
          </w:p>
          <w:p w:rsidR="00054858" w:rsidRDefault="00054858">
            <w:pPr>
              <w:pStyle w:val="ListParagraph"/>
              <w:spacing w:after="0" w:line="240" w:lineRule="auto"/>
              <w:ind w:left="720"/>
              <w:rPr>
                <w:rFonts w:ascii="Arial" w:eastAsia="Times New Roman" w:hAnsi="Arial" w:cs="Times New Roman"/>
                <w:szCs w:val="20"/>
                <w:lang w:val="en-US"/>
              </w:rPr>
            </w:pPr>
          </w:p>
        </w:tc>
      </w:tr>
      <w:tr w:rsidR="00054858">
        <w:tc>
          <w:tcPr>
            <w:tcW w:w="5211" w:type="dxa"/>
          </w:tcPr>
          <w:p w:rsidR="00054858" w:rsidRDefault="00C3101D">
            <w:pPr>
              <w:tabs>
                <w:tab w:val="left" w:pos="522"/>
                <w:tab w:val="left" w:pos="957"/>
              </w:tabs>
              <w:ind w:left="957" w:hanging="435"/>
              <w:jc w:val="both"/>
              <w:rPr>
                <w:rFonts w:cs="Arial"/>
              </w:rPr>
            </w:pPr>
            <w:r>
              <w:rPr>
                <w:rFonts w:cs="Arial"/>
                <w:shd w:val="clear" w:color="auto" w:fill="FFFFFF"/>
              </w:rPr>
              <w:t>(a)</w:t>
            </w:r>
            <w:r>
              <w:rPr>
                <w:rFonts w:cs="Arial"/>
                <w:shd w:val="clear" w:color="auto" w:fill="FFFFFF"/>
              </w:rPr>
              <w:tab/>
            </w:r>
            <w:r>
              <w:rPr>
                <w:rFonts w:cs="Arial"/>
              </w:rPr>
              <w:t xml:space="preserve">the investment objectives of the </w:t>
            </w:r>
            <w:hyperlink r:id="rId17" w:anchor="G86" w:tgtFrame="w_glossary" w:history="1">
              <w:r>
                <w:rPr>
                  <w:rFonts w:cs="Arial"/>
                  <w:iCs/>
                  <w:shd w:val="clear" w:color="auto" w:fill="FFFFFF"/>
                </w:rPr>
                <w:t>Fund</w:t>
              </w:r>
            </w:hyperlink>
            <w:r>
              <w:rPr>
                <w:rFonts w:cs="Arial"/>
              </w:rPr>
              <w:t xml:space="preserve"> and its investment policy for achieving those investment objectives, including:</w:t>
            </w:r>
          </w:p>
        </w:tc>
        <w:tc>
          <w:tcPr>
            <w:tcW w:w="2127" w:type="dxa"/>
          </w:tcPr>
          <w:p w:rsidR="00054858" w:rsidRDefault="00054858" w:rsidP="00DC62A6"/>
        </w:tc>
        <w:tc>
          <w:tcPr>
            <w:tcW w:w="1984" w:type="dxa"/>
          </w:tcPr>
          <w:p w:rsidR="00054858" w:rsidRDefault="00054858"/>
        </w:tc>
      </w:tr>
      <w:tr w:rsidR="00054858">
        <w:tc>
          <w:tcPr>
            <w:tcW w:w="5211" w:type="dxa"/>
          </w:tcPr>
          <w:p w:rsidR="00054858" w:rsidRDefault="00C3101D">
            <w:pPr>
              <w:ind w:left="1440" w:hanging="483"/>
              <w:jc w:val="both"/>
              <w:rPr>
                <w:rFonts w:cs="Arial"/>
              </w:rPr>
            </w:pPr>
            <w:r>
              <w:rPr>
                <w:rFonts w:cs="Arial"/>
              </w:rPr>
              <w:t>(i)</w:t>
            </w:r>
            <w:r>
              <w:rPr>
                <w:rFonts w:cs="Arial"/>
              </w:rPr>
              <w:tab/>
              <w:t>the general nature of the portfolio and any intended specialisation;</w:t>
            </w:r>
          </w:p>
        </w:tc>
        <w:tc>
          <w:tcPr>
            <w:tcW w:w="2127" w:type="dxa"/>
          </w:tcPr>
          <w:p w:rsidR="00054858" w:rsidRDefault="00054858" w:rsidP="00B41E94"/>
        </w:tc>
        <w:tc>
          <w:tcPr>
            <w:tcW w:w="1984" w:type="dxa"/>
          </w:tcPr>
          <w:p w:rsidR="00054858" w:rsidRDefault="00054858"/>
        </w:tc>
      </w:tr>
      <w:tr w:rsidR="00054858">
        <w:tc>
          <w:tcPr>
            <w:tcW w:w="5211" w:type="dxa"/>
          </w:tcPr>
          <w:p w:rsidR="00054858" w:rsidRDefault="00C3101D">
            <w:pPr>
              <w:tabs>
                <w:tab w:val="left" w:pos="522"/>
                <w:tab w:val="left" w:pos="1418"/>
              </w:tabs>
              <w:ind w:left="1418" w:hanging="425"/>
              <w:jc w:val="both"/>
              <w:rPr>
                <w:rFonts w:cs="Arial"/>
                <w:shd w:val="clear" w:color="auto" w:fill="FFFFFF"/>
              </w:rPr>
            </w:pPr>
            <w:r>
              <w:rPr>
                <w:rFonts w:cs="Arial"/>
              </w:rPr>
              <w:t>(ii)</w:t>
            </w:r>
            <w:r>
              <w:rPr>
                <w:rFonts w:cs="Arial"/>
              </w:rPr>
              <w:tab/>
              <w:t xml:space="preserve">the policy for the spreading of risk in the </w:t>
            </w:r>
            <w:hyperlink r:id="rId18" w:anchor="G1049" w:tgtFrame="w_glossary" w:history="1">
              <w:r>
                <w:rPr>
                  <w:rFonts w:cs="Arial"/>
                  <w:iCs/>
                  <w:shd w:val="clear" w:color="auto" w:fill="FFFFFF"/>
                </w:rPr>
                <w:t>Fund Property</w:t>
              </w:r>
            </w:hyperlink>
            <w:r>
              <w:rPr>
                <w:rFonts w:cs="Arial"/>
              </w:rPr>
              <w:t xml:space="preserve"> including an explanation of any potential risks identified;</w:t>
            </w:r>
          </w:p>
        </w:tc>
        <w:tc>
          <w:tcPr>
            <w:tcW w:w="2127" w:type="dxa"/>
          </w:tcPr>
          <w:p w:rsidR="00054858" w:rsidRDefault="00054858" w:rsidP="00EF1DEA"/>
        </w:tc>
        <w:tc>
          <w:tcPr>
            <w:tcW w:w="1984" w:type="dxa"/>
          </w:tcPr>
          <w:p w:rsidR="00054858" w:rsidRDefault="00054858"/>
        </w:tc>
      </w:tr>
      <w:tr w:rsidR="00054858">
        <w:tc>
          <w:tcPr>
            <w:tcW w:w="5211" w:type="dxa"/>
          </w:tcPr>
          <w:p w:rsidR="00054858" w:rsidRDefault="00C3101D">
            <w:pPr>
              <w:ind w:left="1440" w:hanging="483"/>
              <w:jc w:val="both"/>
              <w:rPr>
                <w:rFonts w:cs="Arial"/>
              </w:rPr>
            </w:pPr>
            <w:r>
              <w:rPr>
                <w:rFonts w:cs="Arial"/>
              </w:rPr>
              <w:t>(iii)</w:t>
            </w:r>
            <w:r>
              <w:rPr>
                <w:rFonts w:cs="Arial"/>
              </w:rPr>
              <w:tab/>
              <w:t>the policy in relation to the exercise of borrowing powers; and</w:t>
            </w:r>
          </w:p>
        </w:tc>
        <w:tc>
          <w:tcPr>
            <w:tcW w:w="2127" w:type="dxa"/>
          </w:tcPr>
          <w:p w:rsidR="00054858" w:rsidRDefault="00054858"/>
        </w:tc>
        <w:tc>
          <w:tcPr>
            <w:tcW w:w="1984" w:type="dxa"/>
          </w:tcPr>
          <w:p w:rsidR="00054858" w:rsidRDefault="00054858"/>
        </w:tc>
      </w:tr>
      <w:tr w:rsidR="00054858">
        <w:tc>
          <w:tcPr>
            <w:tcW w:w="5211" w:type="dxa"/>
          </w:tcPr>
          <w:p w:rsidR="00054858" w:rsidRDefault="00C3101D">
            <w:pPr>
              <w:ind w:left="1440" w:hanging="483"/>
              <w:jc w:val="both"/>
              <w:rPr>
                <w:rFonts w:cs="Arial"/>
              </w:rPr>
            </w:pPr>
            <w:r>
              <w:rPr>
                <w:rFonts w:cs="Arial"/>
              </w:rPr>
              <w:t xml:space="preserve"> (iv)</w:t>
            </w:r>
            <w:r>
              <w:rPr>
                <w:rFonts w:cs="Arial"/>
              </w:rPr>
              <w:tab/>
              <w:t>the policy in relation to using Derivatives for speculations or hedging purposes;</w:t>
            </w:r>
          </w:p>
        </w:tc>
        <w:tc>
          <w:tcPr>
            <w:tcW w:w="2127" w:type="dxa"/>
          </w:tcPr>
          <w:p w:rsidR="00054858" w:rsidRDefault="00054858" w:rsidP="00622197"/>
        </w:tc>
        <w:tc>
          <w:tcPr>
            <w:tcW w:w="1984" w:type="dxa"/>
          </w:tcPr>
          <w:p w:rsidR="00054858" w:rsidRDefault="00054858"/>
        </w:tc>
      </w:tr>
      <w:tr w:rsidR="00054858">
        <w:tc>
          <w:tcPr>
            <w:tcW w:w="5211" w:type="dxa"/>
          </w:tcPr>
          <w:p w:rsidR="00054858" w:rsidRDefault="00C3101D">
            <w:pPr>
              <w:tabs>
                <w:tab w:val="left" w:pos="522"/>
                <w:tab w:val="left" w:pos="957"/>
              </w:tabs>
              <w:ind w:left="957" w:hanging="435"/>
              <w:jc w:val="both"/>
              <w:rPr>
                <w:rFonts w:cs="Arial"/>
                <w:shd w:val="clear" w:color="auto" w:fill="FFFFFF"/>
              </w:rPr>
            </w:pPr>
            <w:r>
              <w:rPr>
                <w:rFonts w:cs="Arial"/>
              </w:rPr>
              <w:t>(b)</w:t>
            </w:r>
            <w:r>
              <w:rPr>
                <w:rFonts w:cs="Arial"/>
              </w:rPr>
              <w:tab/>
              <w:t>a description of any restrictions in the assets in which investment may be made; and</w:t>
            </w:r>
          </w:p>
        </w:tc>
        <w:tc>
          <w:tcPr>
            <w:tcW w:w="2127" w:type="dxa"/>
          </w:tcPr>
          <w:p w:rsidR="00054858" w:rsidRDefault="00054858" w:rsidP="00DC62A6"/>
        </w:tc>
        <w:tc>
          <w:tcPr>
            <w:tcW w:w="1984" w:type="dxa"/>
          </w:tcPr>
          <w:p w:rsidR="001A3F43" w:rsidRDefault="001A3F43" w:rsidP="006672E9"/>
        </w:tc>
      </w:tr>
      <w:tr w:rsidR="00054858">
        <w:tc>
          <w:tcPr>
            <w:tcW w:w="5211" w:type="dxa"/>
          </w:tcPr>
          <w:p w:rsidR="00054858" w:rsidRDefault="00C3101D">
            <w:pPr>
              <w:tabs>
                <w:tab w:val="left" w:pos="522"/>
                <w:tab w:val="left" w:pos="957"/>
              </w:tabs>
              <w:ind w:left="957" w:hanging="435"/>
              <w:jc w:val="both"/>
              <w:rPr>
                <w:rFonts w:cs="Arial"/>
              </w:rPr>
            </w:pPr>
            <w:r>
              <w:rPr>
                <w:rFonts w:cs="Arial"/>
              </w:rPr>
              <w:t xml:space="preserve"> (c)</w:t>
            </w:r>
            <w:r>
              <w:rPr>
                <w:rFonts w:cs="Arial"/>
              </w:rPr>
              <w:tab/>
              <w:t>the extent (if any) to which that investment policy does not envisage remaining fully invested at all times.</w:t>
            </w:r>
          </w:p>
        </w:tc>
        <w:tc>
          <w:tcPr>
            <w:tcW w:w="2127" w:type="dxa"/>
          </w:tcPr>
          <w:p w:rsidR="00054858" w:rsidRDefault="00054858"/>
        </w:tc>
        <w:tc>
          <w:tcPr>
            <w:tcW w:w="1984" w:type="dxa"/>
          </w:tcPr>
          <w:p w:rsidR="00054858" w:rsidRDefault="00054858"/>
        </w:tc>
      </w:tr>
      <w:tr w:rsidR="00054858">
        <w:tc>
          <w:tcPr>
            <w:tcW w:w="9322" w:type="dxa"/>
            <w:gridSpan w:val="3"/>
          </w:tcPr>
          <w:p w:rsidR="00054858" w:rsidRDefault="00C3101D">
            <w:pPr>
              <w:tabs>
                <w:tab w:val="left" w:pos="426"/>
              </w:tabs>
              <w:spacing w:after="0" w:line="240" w:lineRule="auto"/>
              <w:rPr>
                <w:rFonts w:cs="Arial"/>
              </w:rPr>
            </w:pPr>
            <w:r>
              <w:rPr>
                <w:rFonts w:cs="Arial"/>
              </w:rPr>
              <w:t>(2)</w:t>
            </w:r>
            <w:r>
              <w:rPr>
                <w:rFonts w:cs="Arial"/>
              </w:rPr>
              <w:tab/>
              <w:t>For investment in Real Property:</w:t>
            </w:r>
          </w:p>
          <w:p w:rsidR="00054858" w:rsidRDefault="00054858">
            <w:pPr>
              <w:spacing w:after="0" w:line="240" w:lineRule="auto"/>
              <w:rPr>
                <w:rFonts w:ascii="Arial" w:eastAsia="Times New Roman" w:hAnsi="Arial" w:cs="Times New Roman"/>
                <w:szCs w:val="20"/>
                <w:lang w:val="en-US"/>
              </w:rPr>
            </w:pPr>
          </w:p>
        </w:tc>
      </w:tr>
      <w:tr w:rsidR="00054858">
        <w:tc>
          <w:tcPr>
            <w:tcW w:w="5211" w:type="dxa"/>
          </w:tcPr>
          <w:p w:rsidR="00054858" w:rsidRDefault="00C3101D">
            <w:pPr>
              <w:tabs>
                <w:tab w:val="left" w:pos="522"/>
                <w:tab w:val="left" w:pos="957"/>
              </w:tabs>
              <w:ind w:left="957" w:hanging="435"/>
              <w:jc w:val="both"/>
              <w:rPr>
                <w:rFonts w:cs="Arial"/>
              </w:rPr>
            </w:pPr>
            <w:r>
              <w:rPr>
                <w:rFonts w:cs="Arial"/>
              </w:rPr>
              <w:t>(a)</w:t>
            </w:r>
            <w:r>
              <w:rPr>
                <w:rFonts w:cs="Arial"/>
              </w:rPr>
              <w:tab/>
              <w:t xml:space="preserve">the countries or territories in which the </w:t>
            </w:r>
            <w:hyperlink r:id="rId19" w:anchor="G86" w:tgtFrame="w_glossary" w:history="1">
              <w:r>
                <w:rPr>
                  <w:rFonts w:cs="Arial"/>
                  <w:iCs/>
                  <w:shd w:val="clear" w:color="auto" w:fill="FFFFFF"/>
                </w:rPr>
                <w:t>Fund</w:t>
              </w:r>
            </w:hyperlink>
            <w:r>
              <w:rPr>
                <w:rFonts w:cs="Arial"/>
              </w:rPr>
              <w:t xml:space="preserve"> may invest</w:t>
            </w:r>
            <w:r w:rsidR="008F77EE">
              <w:rPr>
                <w:rFonts w:cs="Arial"/>
              </w:rPr>
              <w:t>;</w:t>
            </w:r>
          </w:p>
        </w:tc>
        <w:tc>
          <w:tcPr>
            <w:tcW w:w="2127" w:type="dxa"/>
          </w:tcPr>
          <w:p w:rsidR="00054858" w:rsidRDefault="00054858" w:rsidP="00DC62A6"/>
        </w:tc>
        <w:tc>
          <w:tcPr>
            <w:tcW w:w="1984" w:type="dxa"/>
          </w:tcPr>
          <w:p w:rsidR="00054858" w:rsidRDefault="00054858"/>
        </w:tc>
      </w:tr>
      <w:tr w:rsidR="00054858">
        <w:tc>
          <w:tcPr>
            <w:tcW w:w="5211" w:type="dxa"/>
          </w:tcPr>
          <w:p w:rsidR="00054858" w:rsidRDefault="00C3101D">
            <w:pPr>
              <w:tabs>
                <w:tab w:val="left" w:pos="957"/>
              </w:tabs>
              <w:ind w:left="972" w:hanging="450"/>
              <w:jc w:val="both"/>
              <w:rPr>
                <w:rFonts w:cs="Arial"/>
              </w:rPr>
            </w:pPr>
            <w:r>
              <w:rPr>
                <w:rFonts w:cs="Arial"/>
              </w:rPr>
              <w:t>(b)</w:t>
            </w:r>
            <w:r>
              <w:rPr>
                <w:rFonts w:cs="Arial"/>
              </w:rPr>
              <w:tab/>
              <w:t>the types of Real Property, including the policy in relation to encumbrances and lease period</w:t>
            </w:r>
            <w:r w:rsidR="008F77EE">
              <w:rPr>
                <w:rFonts w:cs="Arial"/>
              </w:rPr>
              <w:t>; and</w:t>
            </w:r>
          </w:p>
        </w:tc>
        <w:tc>
          <w:tcPr>
            <w:tcW w:w="2127" w:type="dxa"/>
          </w:tcPr>
          <w:p w:rsidR="00054858" w:rsidRDefault="00054858" w:rsidP="00622197"/>
        </w:tc>
        <w:tc>
          <w:tcPr>
            <w:tcW w:w="1984" w:type="dxa"/>
          </w:tcPr>
          <w:p w:rsidR="00054858" w:rsidRDefault="00054858"/>
        </w:tc>
      </w:tr>
      <w:tr w:rsidR="00054858">
        <w:tc>
          <w:tcPr>
            <w:tcW w:w="5211" w:type="dxa"/>
          </w:tcPr>
          <w:p w:rsidR="00054858" w:rsidRDefault="00C3101D">
            <w:pPr>
              <w:tabs>
                <w:tab w:val="left" w:pos="522"/>
                <w:tab w:val="left" w:pos="957"/>
              </w:tabs>
              <w:ind w:left="957" w:hanging="435"/>
              <w:jc w:val="both"/>
              <w:rPr>
                <w:rFonts w:cs="Arial"/>
              </w:rPr>
            </w:pPr>
            <w:r>
              <w:rPr>
                <w:rFonts w:cs="Arial"/>
              </w:rPr>
              <w:t>(c)</w:t>
            </w:r>
            <w:r>
              <w:rPr>
                <w:rFonts w:cs="Arial"/>
              </w:rPr>
              <w:tab/>
              <w:t xml:space="preserve">the policy of the Fund Manager in relation to insurance of Real Property forming part of the </w:t>
            </w:r>
            <w:hyperlink r:id="rId20" w:anchor="G1049" w:tgtFrame="w_glossary" w:history="1">
              <w:r>
                <w:rPr>
                  <w:rFonts w:cs="Arial"/>
                  <w:iCs/>
                  <w:shd w:val="clear" w:color="auto" w:fill="FFFFFF"/>
                </w:rPr>
                <w:t>Fund Property</w:t>
              </w:r>
            </w:hyperlink>
            <w:r w:rsidR="008F77EE">
              <w:rPr>
                <w:rFonts w:cs="Arial"/>
                <w:iCs/>
                <w:shd w:val="clear" w:color="auto" w:fill="FFFFFF"/>
              </w:rPr>
              <w:t>.</w:t>
            </w:r>
          </w:p>
        </w:tc>
        <w:tc>
          <w:tcPr>
            <w:tcW w:w="2127" w:type="dxa"/>
          </w:tcPr>
          <w:p w:rsidR="00054858" w:rsidRDefault="00054858" w:rsidP="00622197"/>
        </w:tc>
        <w:tc>
          <w:tcPr>
            <w:tcW w:w="1984" w:type="dxa"/>
          </w:tcPr>
          <w:p w:rsidR="00054858" w:rsidRDefault="00054858"/>
        </w:tc>
      </w:tr>
      <w:tr w:rsidR="00054858">
        <w:tc>
          <w:tcPr>
            <w:tcW w:w="5211" w:type="dxa"/>
          </w:tcPr>
          <w:p w:rsidR="00054858" w:rsidRDefault="00C3101D">
            <w:pPr>
              <w:tabs>
                <w:tab w:val="left" w:pos="492"/>
              </w:tabs>
              <w:ind w:left="492" w:hanging="492"/>
              <w:jc w:val="both"/>
              <w:rPr>
                <w:rFonts w:cs="Arial"/>
              </w:rPr>
            </w:pPr>
            <w:r>
              <w:rPr>
                <w:rFonts w:cs="Arial"/>
              </w:rPr>
              <w:t>(3)</w:t>
            </w:r>
            <w:r>
              <w:rPr>
                <w:rFonts w:cs="Arial"/>
              </w:rPr>
              <w:tab/>
              <w:t xml:space="preserve">If intended, whether the </w:t>
            </w:r>
            <w:hyperlink r:id="rId21" w:anchor="G1049" w:tgtFrame="w_glossary" w:history="1">
              <w:r>
                <w:rPr>
                  <w:rFonts w:cs="Arial"/>
                  <w:iCs/>
                  <w:shd w:val="clear" w:color="auto" w:fill="FFFFFF"/>
                </w:rPr>
                <w:t>Fund Property</w:t>
              </w:r>
            </w:hyperlink>
            <w:r>
              <w:rPr>
                <w:rFonts w:cs="Arial"/>
              </w:rPr>
              <w:t xml:space="preserve"> may consist of </w:t>
            </w:r>
            <w:hyperlink r:id="rId22" w:anchor="G1230" w:tgtFrame="w_glossary" w:history="1">
              <w:r>
                <w:rPr>
                  <w:rFonts w:cs="Arial"/>
                  <w:iCs/>
                  <w:shd w:val="clear" w:color="auto" w:fill="FFFFFF"/>
                </w:rPr>
                <w:t>U</w:t>
              </w:r>
            </w:hyperlink>
            <w:r>
              <w:rPr>
                <w:rFonts w:cs="Arial"/>
              </w:rPr>
              <w:t xml:space="preserve">nits in Funds which are managed by or operated by the Fund Manager or by one of its </w:t>
            </w:r>
            <w:hyperlink r:id="rId23" w:anchor="G76" w:tgtFrame="w_glossary" w:history="1">
              <w:r>
                <w:rPr>
                  <w:rFonts w:cs="Arial"/>
                  <w:iCs/>
                  <w:shd w:val="clear" w:color="auto" w:fill="FFFFFF"/>
                </w:rPr>
                <w:t>associates</w:t>
              </w:r>
            </w:hyperlink>
            <w:r>
              <w:rPr>
                <w:rFonts w:cs="Arial"/>
              </w:rPr>
              <w:t xml:space="preserve"> and a statement specifying:</w:t>
            </w:r>
          </w:p>
          <w:p w:rsidR="00054858" w:rsidRDefault="00C3101D">
            <w:pPr>
              <w:tabs>
                <w:tab w:val="left" w:pos="522"/>
                <w:tab w:val="left" w:pos="957"/>
              </w:tabs>
              <w:ind w:left="957" w:hanging="435"/>
              <w:jc w:val="both"/>
              <w:rPr>
                <w:rFonts w:cs="Arial"/>
              </w:rPr>
            </w:pPr>
            <w:r>
              <w:rPr>
                <w:rFonts w:cs="Arial"/>
                <w:shd w:val="clear" w:color="auto" w:fill="FFFFFF"/>
              </w:rPr>
              <w:t>(a)</w:t>
            </w:r>
            <w:r>
              <w:rPr>
                <w:rFonts w:cs="Arial"/>
                <w:shd w:val="clear" w:color="auto" w:fill="FFFFFF"/>
              </w:rPr>
              <w:tab/>
            </w:r>
            <w:r>
              <w:rPr>
                <w:rFonts w:cs="Arial"/>
              </w:rPr>
              <w:t>the basis of the maximum amount of the charges in respect of transactions in the Fund invested in; and</w:t>
            </w:r>
          </w:p>
          <w:p w:rsidR="00054858" w:rsidRDefault="00C3101D">
            <w:pPr>
              <w:tabs>
                <w:tab w:val="left" w:pos="972"/>
              </w:tabs>
              <w:ind w:left="972" w:hanging="450"/>
              <w:jc w:val="both"/>
              <w:rPr>
                <w:rFonts w:cs="Arial"/>
              </w:rPr>
            </w:pPr>
            <w:r>
              <w:rPr>
                <w:rFonts w:cs="Arial"/>
                <w:shd w:val="clear" w:color="auto" w:fill="FFFFFF"/>
              </w:rPr>
              <w:t>(b)</w:t>
            </w:r>
            <w:r>
              <w:rPr>
                <w:rFonts w:cs="Arial"/>
                <w:shd w:val="clear" w:color="auto" w:fill="FFFFFF"/>
              </w:rPr>
              <w:tab/>
            </w:r>
            <w:r>
              <w:rPr>
                <w:rFonts w:cs="Arial"/>
              </w:rPr>
              <w:t xml:space="preserve">the extent to which any such charges will be reimbursed to the </w:t>
            </w:r>
            <w:hyperlink r:id="rId24" w:anchor="G1043" w:tgtFrame="w_glossary" w:history="1">
              <w:r>
                <w:rPr>
                  <w:rFonts w:cs="Arial"/>
                  <w:iCs/>
                  <w:shd w:val="clear" w:color="auto" w:fill="FFFFFF"/>
                </w:rPr>
                <w:t>Fund</w:t>
              </w:r>
            </w:hyperlink>
            <w:r>
              <w:rPr>
                <w:rFonts w:cs="Arial"/>
              </w:rPr>
              <w:t>.</w:t>
            </w:r>
          </w:p>
        </w:tc>
        <w:tc>
          <w:tcPr>
            <w:tcW w:w="2127" w:type="dxa"/>
          </w:tcPr>
          <w:p w:rsidR="00054858" w:rsidRDefault="00054858"/>
        </w:tc>
        <w:tc>
          <w:tcPr>
            <w:tcW w:w="1984" w:type="dxa"/>
          </w:tcPr>
          <w:p w:rsidR="00054858" w:rsidRDefault="00054858"/>
        </w:tc>
      </w:tr>
      <w:tr w:rsidR="00523559">
        <w:tc>
          <w:tcPr>
            <w:tcW w:w="5211" w:type="dxa"/>
          </w:tcPr>
          <w:p w:rsidR="00523559" w:rsidRDefault="00523559">
            <w:pPr>
              <w:tabs>
                <w:tab w:val="left" w:pos="492"/>
              </w:tabs>
              <w:ind w:left="492" w:hanging="492"/>
              <w:jc w:val="both"/>
              <w:rPr>
                <w:rFonts w:cs="Arial"/>
              </w:rPr>
            </w:pPr>
            <w:r>
              <w:rPr>
                <w:rFonts w:cs="Arial"/>
              </w:rPr>
              <w:t xml:space="preserve">(4)    </w:t>
            </w:r>
            <w:r w:rsidR="008F77EE">
              <w:rPr>
                <w:rFonts w:cs="Arial"/>
              </w:rPr>
              <w:t>I</w:t>
            </w:r>
            <w:r>
              <w:rPr>
                <w:rFonts w:cs="Arial"/>
              </w:rPr>
              <w:t xml:space="preserve">n the case of a Hedge Fund, an explanation of the types of strategies to be employed by the Fund Manager and the associated risks. </w:t>
            </w:r>
          </w:p>
        </w:tc>
        <w:tc>
          <w:tcPr>
            <w:tcW w:w="2127" w:type="dxa"/>
          </w:tcPr>
          <w:p w:rsidR="00523559" w:rsidRDefault="00523559"/>
        </w:tc>
        <w:tc>
          <w:tcPr>
            <w:tcW w:w="1984" w:type="dxa"/>
          </w:tcPr>
          <w:p w:rsidR="00523559" w:rsidRDefault="00523559"/>
        </w:tc>
      </w:tr>
      <w:tr w:rsidR="00054858">
        <w:trPr>
          <w:trHeight w:val="374"/>
        </w:trPr>
        <w:tc>
          <w:tcPr>
            <w:tcW w:w="9322" w:type="dxa"/>
            <w:gridSpan w:val="3"/>
          </w:tcPr>
          <w:p w:rsidR="00054858" w:rsidRPr="00D85AD4" w:rsidRDefault="00C3101D" w:rsidP="00D85AD4">
            <w:pPr>
              <w:pStyle w:val="ListParagraph"/>
              <w:numPr>
                <w:ilvl w:val="0"/>
                <w:numId w:val="11"/>
              </w:numPr>
              <w:spacing w:after="0" w:line="240" w:lineRule="auto"/>
              <w:rPr>
                <w:rFonts w:ascii="Arial" w:eastAsia="Times New Roman" w:hAnsi="Arial" w:cs="Times New Roman"/>
                <w:szCs w:val="20"/>
                <w:lang w:val="en-US"/>
              </w:rPr>
            </w:pPr>
            <w:r w:rsidRPr="00D85AD4">
              <w:rPr>
                <w:rFonts w:cs="Arial"/>
                <w:b/>
                <w:shd w:val="clear" w:color="auto" w:fill="FFFFFF"/>
              </w:rPr>
              <w:t>Distribution and accounting period</w:t>
            </w:r>
          </w:p>
        </w:tc>
      </w:tr>
      <w:tr w:rsidR="00054858">
        <w:tc>
          <w:tcPr>
            <w:tcW w:w="9322" w:type="dxa"/>
            <w:gridSpan w:val="3"/>
          </w:tcPr>
          <w:p w:rsidR="00054858" w:rsidRDefault="00C3101D">
            <w:pPr>
              <w:spacing w:after="0" w:line="240" w:lineRule="auto"/>
              <w:rPr>
                <w:rFonts w:cs="Arial"/>
              </w:rPr>
            </w:pPr>
            <w:r>
              <w:rPr>
                <w:rFonts w:cs="Arial"/>
              </w:rPr>
              <w:t>Relevant details of the accounting and distribution periods and a description of the procedures:</w:t>
            </w:r>
          </w:p>
          <w:p w:rsidR="00054858" w:rsidRDefault="00054858">
            <w:pPr>
              <w:spacing w:after="0" w:line="240" w:lineRule="auto"/>
              <w:rPr>
                <w:rFonts w:ascii="Arial" w:eastAsia="Times New Roman" w:hAnsi="Arial" w:cs="Times New Roman"/>
                <w:szCs w:val="20"/>
                <w:lang w:val="en-US"/>
              </w:rPr>
            </w:pPr>
          </w:p>
        </w:tc>
      </w:tr>
      <w:tr w:rsidR="00054858">
        <w:tc>
          <w:tcPr>
            <w:tcW w:w="5211" w:type="dxa"/>
          </w:tcPr>
          <w:p w:rsidR="00054858" w:rsidRDefault="00C3101D">
            <w:pPr>
              <w:tabs>
                <w:tab w:val="left" w:pos="492"/>
              </w:tabs>
              <w:ind w:left="492" w:hanging="492"/>
              <w:jc w:val="both"/>
              <w:rPr>
                <w:rFonts w:cs="Arial"/>
              </w:rPr>
            </w:pPr>
            <w:r>
              <w:rPr>
                <w:rFonts w:cs="Arial"/>
              </w:rPr>
              <w:t>(a)</w:t>
            </w:r>
            <w:r>
              <w:rPr>
                <w:rFonts w:cs="Arial"/>
              </w:rPr>
              <w:tab/>
              <w:t>for determining and applying income (including how any distributable income is paid)</w:t>
            </w:r>
            <w:r w:rsidR="008B565F">
              <w:rPr>
                <w:rFonts w:cs="Arial"/>
              </w:rPr>
              <w:t>; and</w:t>
            </w:r>
          </w:p>
        </w:tc>
        <w:tc>
          <w:tcPr>
            <w:tcW w:w="2127" w:type="dxa"/>
          </w:tcPr>
          <w:p w:rsidR="00054858" w:rsidRDefault="00054858"/>
        </w:tc>
        <w:tc>
          <w:tcPr>
            <w:tcW w:w="1984" w:type="dxa"/>
          </w:tcPr>
          <w:p w:rsidR="00054858" w:rsidRDefault="00054858"/>
        </w:tc>
      </w:tr>
      <w:tr w:rsidR="00054858">
        <w:tc>
          <w:tcPr>
            <w:tcW w:w="5211" w:type="dxa"/>
          </w:tcPr>
          <w:p w:rsidR="00054858" w:rsidRDefault="00C3101D">
            <w:pPr>
              <w:spacing w:after="0" w:line="240" w:lineRule="auto"/>
              <w:rPr>
                <w:rFonts w:cs="Arial"/>
              </w:rPr>
            </w:pPr>
            <w:r>
              <w:rPr>
                <w:rFonts w:cs="Arial"/>
                <w:shd w:val="clear" w:color="auto" w:fill="FFFFFF"/>
              </w:rPr>
              <w:t>(b)</w:t>
            </w:r>
            <w:r>
              <w:rPr>
                <w:rFonts w:cs="Arial"/>
                <w:shd w:val="clear" w:color="auto" w:fill="FFFFFF"/>
              </w:rPr>
              <w:tab/>
            </w:r>
            <w:r>
              <w:rPr>
                <w:rFonts w:cs="Arial"/>
              </w:rPr>
              <w:t>relating to unclaimed distributions</w:t>
            </w:r>
            <w:r w:rsidR="008B565F">
              <w:rPr>
                <w:rFonts w:cs="Arial"/>
              </w:rPr>
              <w:t>.</w:t>
            </w:r>
          </w:p>
          <w:p w:rsidR="00054858" w:rsidRDefault="00054858">
            <w:pPr>
              <w:spacing w:after="0" w:line="240" w:lineRule="auto"/>
              <w:rPr>
                <w:rFonts w:cs="Arial"/>
              </w:rPr>
            </w:pPr>
          </w:p>
        </w:tc>
        <w:tc>
          <w:tcPr>
            <w:tcW w:w="2127" w:type="dxa"/>
          </w:tcPr>
          <w:p w:rsidR="00054858" w:rsidRDefault="00054858"/>
        </w:tc>
        <w:tc>
          <w:tcPr>
            <w:tcW w:w="1984" w:type="dxa"/>
          </w:tcPr>
          <w:p w:rsidR="00054858" w:rsidRDefault="00054858"/>
        </w:tc>
      </w:tr>
      <w:tr w:rsidR="00054858">
        <w:tc>
          <w:tcPr>
            <w:tcW w:w="9322" w:type="dxa"/>
            <w:gridSpan w:val="3"/>
          </w:tcPr>
          <w:p w:rsidR="00054858" w:rsidRDefault="00C3101D" w:rsidP="00D85AD4">
            <w:pPr>
              <w:pStyle w:val="ListParagraph"/>
              <w:numPr>
                <w:ilvl w:val="0"/>
                <w:numId w:val="11"/>
              </w:numPr>
            </w:pPr>
            <w:r w:rsidRPr="00D85AD4">
              <w:rPr>
                <w:rFonts w:cs="Arial"/>
                <w:b/>
                <w:bCs/>
              </w:rPr>
              <w:t>The characteristics of Units in the Fund</w:t>
            </w:r>
          </w:p>
        </w:tc>
      </w:tr>
      <w:tr w:rsidR="00054858">
        <w:tc>
          <w:tcPr>
            <w:tcW w:w="9322" w:type="dxa"/>
            <w:gridSpan w:val="3"/>
          </w:tcPr>
          <w:p w:rsidR="00054858" w:rsidRDefault="00C3101D">
            <w:r>
              <w:rPr>
                <w:rFonts w:cs="Arial"/>
                <w:shd w:val="clear" w:color="auto" w:fill="FFFFFF"/>
              </w:rPr>
              <w:t>Information as to:</w:t>
            </w:r>
          </w:p>
        </w:tc>
      </w:tr>
      <w:tr w:rsidR="00054858">
        <w:tc>
          <w:tcPr>
            <w:tcW w:w="5211" w:type="dxa"/>
          </w:tcPr>
          <w:p w:rsidR="00054858" w:rsidRDefault="00C3101D">
            <w:pPr>
              <w:ind w:left="492" w:hanging="492"/>
              <w:jc w:val="both"/>
              <w:rPr>
                <w:rFonts w:cs="Arial"/>
              </w:rPr>
            </w:pPr>
            <w:r>
              <w:rPr>
                <w:rFonts w:cs="Arial"/>
                <w:shd w:val="clear" w:color="auto" w:fill="FFFFFF"/>
              </w:rPr>
              <w:t>(a)</w:t>
            </w:r>
            <w:r>
              <w:rPr>
                <w:rFonts w:cs="Arial"/>
                <w:shd w:val="clear" w:color="auto" w:fill="FFFFFF"/>
              </w:rPr>
              <w:tab/>
            </w:r>
            <w:r>
              <w:rPr>
                <w:rFonts w:cs="Arial"/>
              </w:rPr>
              <w:t xml:space="preserve">the names of the </w:t>
            </w:r>
            <w:hyperlink r:id="rId25" w:anchor="G152" w:tgtFrame="w_glossary" w:history="1">
              <w:r>
                <w:rPr>
                  <w:rFonts w:cs="Arial"/>
                  <w:iCs/>
                  <w:shd w:val="clear" w:color="auto" w:fill="FFFFFF"/>
                </w:rPr>
                <w:t>classes</w:t>
              </w:r>
            </w:hyperlink>
            <w:r>
              <w:rPr>
                <w:rFonts w:cs="Arial"/>
              </w:rPr>
              <w:t xml:space="preserve"> of </w:t>
            </w:r>
            <w:hyperlink r:id="rId26" w:anchor="G1230" w:tgtFrame="w_glossary" w:history="1">
              <w:r>
                <w:rPr>
                  <w:rFonts w:cs="Arial"/>
                  <w:iCs/>
                  <w:shd w:val="clear" w:color="auto" w:fill="FFFFFF"/>
                </w:rPr>
                <w:t>Units</w:t>
              </w:r>
            </w:hyperlink>
            <w:r>
              <w:rPr>
                <w:rFonts w:cs="Arial"/>
              </w:rPr>
              <w:t xml:space="preserve"> of the Fund or Sub-Fund in issue or available for </w:t>
            </w:r>
            <w:hyperlink r:id="rId27" w:anchor="G625" w:tgtFrame="w_glossary" w:history="1">
              <w:r>
                <w:rPr>
                  <w:rFonts w:cs="Arial"/>
                  <w:iCs/>
                  <w:shd w:val="clear" w:color="auto" w:fill="FFFFFF"/>
                </w:rPr>
                <w:t>issue</w:t>
              </w:r>
            </w:hyperlink>
            <w:r>
              <w:rPr>
                <w:rFonts w:cs="Arial"/>
              </w:rPr>
              <w:t xml:space="preserve"> and the rights attached to them in so far as they vary from the rights attached to other </w:t>
            </w:r>
            <w:hyperlink r:id="rId28" w:anchor="G152" w:tgtFrame="w_glossary" w:history="1">
              <w:r>
                <w:rPr>
                  <w:rFonts w:cs="Arial"/>
                  <w:iCs/>
                  <w:shd w:val="clear" w:color="auto" w:fill="FFFFFF"/>
                </w:rPr>
                <w:t>classes</w:t>
              </w:r>
            </w:hyperlink>
            <w:r>
              <w:rPr>
                <w:rFonts w:cs="Arial"/>
              </w:rPr>
              <w:t xml:space="preserve"> of Units in the Fund or the Sub-Fund as applicable</w:t>
            </w:r>
            <w:r w:rsidR="00337A48">
              <w:rPr>
                <w:rFonts w:cs="Arial"/>
              </w:rPr>
              <w:t>;</w:t>
            </w:r>
          </w:p>
        </w:tc>
        <w:tc>
          <w:tcPr>
            <w:tcW w:w="2127" w:type="dxa"/>
          </w:tcPr>
          <w:p w:rsidR="00054858" w:rsidRDefault="00054858"/>
        </w:tc>
        <w:tc>
          <w:tcPr>
            <w:tcW w:w="1984" w:type="dxa"/>
          </w:tcPr>
          <w:p w:rsidR="00054858" w:rsidRDefault="005236B3">
            <w:r>
              <w:rPr>
                <w:rFonts w:ascii="Arial" w:eastAsia="Times New Roman" w:hAnsi="Arial" w:cs="Arial"/>
                <w:szCs w:val="20"/>
                <w:lang w:val="en-US"/>
              </w:rPr>
              <w:t xml:space="preserve"> </w:t>
            </w:r>
          </w:p>
        </w:tc>
      </w:tr>
      <w:tr w:rsidR="00054858">
        <w:tc>
          <w:tcPr>
            <w:tcW w:w="5211" w:type="dxa"/>
          </w:tcPr>
          <w:p w:rsidR="00054858" w:rsidRDefault="00C3101D">
            <w:pPr>
              <w:ind w:left="492" w:hanging="492"/>
              <w:jc w:val="both"/>
              <w:rPr>
                <w:rFonts w:cs="Arial"/>
              </w:rPr>
            </w:pPr>
            <w:r>
              <w:rPr>
                <w:rFonts w:cs="Arial"/>
                <w:shd w:val="clear" w:color="auto" w:fill="FFFFFF"/>
              </w:rPr>
              <w:t>(b)</w:t>
            </w:r>
            <w:r>
              <w:rPr>
                <w:rFonts w:cs="Arial"/>
                <w:shd w:val="clear" w:color="auto" w:fill="FFFFFF"/>
              </w:rPr>
              <w:tab/>
            </w:r>
            <w:r>
              <w:rPr>
                <w:rFonts w:cs="Arial"/>
              </w:rPr>
              <w:t xml:space="preserve">how </w:t>
            </w:r>
            <w:hyperlink r:id="rId29" w:anchor="G1233" w:tgtFrame="w_glossary" w:history="1">
              <w:r>
                <w:rPr>
                  <w:rFonts w:cs="Arial"/>
                  <w:iCs/>
                  <w:shd w:val="clear" w:color="auto" w:fill="FFFFFF"/>
                </w:rPr>
                <w:t>Unitholders</w:t>
              </w:r>
            </w:hyperlink>
            <w:r>
              <w:rPr>
                <w:rFonts w:cs="Arial"/>
              </w:rPr>
              <w:t xml:space="preserve"> may exercise their voting rights and what they are</w:t>
            </w:r>
            <w:r w:rsidR="00337A48">
              <w:rPr>
                <w:rFonts w:cs="Arial"/>
              </w:rPr>
              <w:t>; and</w:t>
            </w:r>
          </w:p>
        </w:tc>
        <w:tc>
          <w:tcPr>
            <w:tcW w:w="2127" w:type="dxa"/>
          </w:tcPr>
          <w:p w:rsidR="00054858" w:rsidRDefault="00054858"/>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rPr>
              <w:t>(c)</w:t>
            </w:r>
            <w:r>
              <w:rPr>
                <w:rFonts w:cs="Arial"/>
              </w:rPr>
              <w:tab/>
              <w:t xml:space="preserve">the circumstances where a mandatory </w:t>
            </w:r>
            <w:hyperlink r:id="rId30" w:anchor="G964" w:tgtFrame="w_glossary" w:history="1">
              <w:r>
                <w:rPr>
                  <w:rFonts w:cs="Arial"/>
                  <w:iCs/>
                  <w:shd w:val="clear" w:color="auto" w:fill="FFFFFF"/>
                </w:rPr>
                <w:t>redemption</w:t>
              </w:r>
            </w:hyperlink>
            <w:r>
              <w:rPr>
                <w:rFonts w:cs="Arial"/>
              </w:rPr>
              <w:t xml:space="preserve">, </w:t>
            </w:r>
            <w:hyperlink r:id="rId31" w:anchor="G124" w:tgtFrame="w_glossary" w:history="1">
              <w:r>
                <w:rPr>
                  <w:rFonts w:cs="Arial"/>
                  <w:iCs/>
                  <w:shd w:val="clear" w:color="auto" w:fill="FFFFFF"/>
                </w:rPr>
                <w:t>cancellation</w:t>
              </w:r>
            </w:hyperlink>
            <w:r>
              <w:rPr>
                <w:rFonts w:cs="Arial"/>
              </w:rPr>
              <w:t xml:space="preserve"> or conversion of a </w:t>
            </w:r>
            <w:hyperlink r:id="rId32" w:anchor="G1230" w:tgtFrame="w_glossary" w:history="1">
              <w:r>
                <w:rPr>
                  <w:rFonts w:cs="Arial"/>
                  <w:iCs/>
                  <w:shd w:val="clear" w:color="auto" w:fill="FFFFFF"/>
                </w:rPr>
                <w:t>U</w:t>
              </w:r>
            </w:hyperlink>
            <w:r>
              <w:rPr>
                <w:rFonts w:cs="Arial"/>
              </w:rPr>
              <w:t xml:space="preserve">nit from one </w:t>
            </w:r>
            <w:hyperlink r:id="rId33" w:anchor="G152" w:tgtFrame="w_glossary" w:history="1">
              <w:r>
                <w:rPr>
                  <w:rFonts w:cs="Arial"/>
                  <w:iCs/>
                  <w:shd w:val="clear" w:color="auto" w:fill="FFFFFF"/>
                </w:rPr>
                <w:t>class</w:t>
              </w:r>
            </w:hyperlink>
            <w:r>
              <w:rPr>
                <w:rFonts w:cs="Arial"/>
              </w:rPr>
              <w:t xml:space="preserve"> to another may be required.</w:t>
            </w:r>
          </w:p>
        </w:tc>
        <w:tc>
          <w:tcPr>
            <w:tcW w:w="2127" w:type="dxa"/>
          </w:tcPr>
          <w:p w:rsidR="00054858" w:rsidRDefault="00054858" w:rsidP="007A4D05"/>
        </w:tc>
        <w:tc>
          <w:tcPr>
            <w:tcW w:w="1984" w:type="dxa"/>
          </w:tcPr>
          <w:p w:rsidR="00054858" w:rsidRDefault="00054858"/>
        </w:tc>
      </w:tr>
      <w:tr w:rsidR="00054858">
        <w:tc>
          <w:tcPr>
            <w:tcW w:w="9322" w:type="dxa"/>
            <w:gridSpan w:val="3"/>
          </w:tcPr>
          <w:p w:rsidR="00054858" w:rsidRDefault="00C3101D" w:rsidP="00D85AD4">
            <w:pPr>
              <w:pStyle w:val="ListParagraph"/>
              <w:numPr>
                <w:ilvl w:val="0"/>
                <w:numId w:val="11"/>
              </w:numPr>
            </w:pPr>
            <w:r w:rsidRPr="00D85AD4">
              <w:rPr>
                <w:rFonts w:cs="Arial"/>
                <w:b/>
                <w:shd w:val="clear" w:color="auto" w:fill="FFFFFF"/>
              </w:rPr>
              <w:t>The Fund Manager</w:t>
            </w:r>
          </w:p>
        </w:tc>
      </w:tr>
      <w:tr w:rsidR="00054858">
        <w:tc>
          <w:tcPr>
            <w:tcW w:w="9322" w:type="dxa"/>
            <w:gridSpan w:val="3"/>
          </w:tcPr>
          <w:p w:rsidR="00054858" w:rsidRDefault="00C3101D">
            <w:pPr>
              <w:jc w:val="both"/>
              <w:rPr>
                <w:rFonts w:cs="Arial"/>
              </w:rPr>
            </w:pPr>
            <w:r>
              <w:rPr>
                <w:rFonts w:cs="Arial"/>
              </w:rPr>
              <w:t>The following particulars of the Fund Manager:</w:t>
            </w:r>
          </w:p>
        </w:tc>
      </w:tr>
      <w:tr w:rsidR="00054858">
        <w:tc>
          <w:tcPr>
            <w:tcW w:w="5211" w:type="dxa"/>
          </w:tcPr>
          <w:p w:rsidR="00054858" w:rsidRDefault="00C3101D">
            <w:pPr>
              <w:ind w:left="492" w:hanging="492"/>
              <w:jc w:val="both"/>
              <w:rPr>
                <w:rFonts w:cs="Arial"/>
              </w:rPr>
            </w:pPr>
            <w:r>
              <w:rPr>
                <w:rFonts w:cs="Arial"/>
              </w:rPr>
              <w:t>(a)</w:t>
            </w:r>
            <w:r>
              <w:rPr>
                <w:rFonts w:cs="Arial"/>
              </w:rPr>
              <w:tab/>
              <w:t xml:space="preserve">its name, whether the Fund Manager is incorporated in the DIFC or elsewhere and the date of such incorporation, and if the Fund Manager is an External Fund Manager, that fact and the details of the Appointed Fund Administrator or Custody Provider under </w:t>
            </w:r>
            <w:r w:rsidR="00145054">
              <w:rPr>
                <w:rFonts w:cs="Arial"/>
              </w:rPr>
              <w:t xml:space="preserve">CIR </w:t>
            </w:r>
            <w:r>
              <w:rPr>
                <w:rFonts w:cs="Arial"/>
              </w:rPr>
              <w:t>Rule 6.1.3(a);</w:t>
            </w:r>
          </w:p>
        </w:tc>
        <w:tc>
          <w:tcPr>
            <w:tcW w:w="2127" w:type="dxa"/>
          </w:tcPr>
          <w:p w:rsidR="00054858" w:rsidRDefault="00054858">
            <w:pPr>
              <w:rPr>
                <w:rFonts w:ascii="Arial" w:eastAsia="Times New Roman" w:hAnsi="Arial" w:cs="Arial"/>
                <w:szCs w:val="20"/>
                <w:lang w:val="en-US"/>
              </w:rPr>
            </w:pPr>
          </w:p>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rPr>
              <w:t>(b)</w:t>
            </w:r>
            <w:r>
              <w:rPr>
                <w:rFonts w:cs="Arial"/>
              </w:rPr>
              <w:tab/>
              <w:t xml:space="preserve">its address, and if applicable, that of the Appointed Fund Administrator or Trustee, as the case may be, and the registered office in the DIFC;  </w:t>
            </w:r>
          </w:p>
        </w:tc>
        <w:tc>
          <w:tcPr>
            <w:tcW w:w="2127" w:type="dxa"/>
          </w:tcPr>
          <w:p w:rsidR="00054858" w:rsidRDefault="00054858"/>
        </w:tc>
        <w:tc>
          <w:tcPr>
            <w:tcW w:w="1984" w:type="dxa"/>
          </w:tcPr>
          <w:p w:rsidR="00054858" w:rsidRDefault="00054858"/>
        </w:tc>
      </w:tr>
      <w:tr w:rsidR="00054858">
        <w:tc>
          <w:tcPr>
            <w:tcW w:w="5211" w:type="dxa"/>
          </w:tcPr>
          <w:p w:rsidR="00054858" w:rsidRDefault="00C3101D">
            <w:pPr>
              <w:keepNext/>
              <w:keepLines/>
              <w:ind w:left="493" w:hanging="493"/>
              <w:jc w:val="both"/>
              <w:rPr>
                <w:rFonts w:cs="Arial"/>
              </w:rPr>
            </w:pPr>
            <w:r>
              <w:rPr>
                <w:rFonts w:cs="Arial"/>
              </w:rPr>
              <w:t>(c)</w:t>
            </w:r>
            <w:r>
              <w:rPr>
                <w:rFonts w:cs="Arial"/>
              </w:rPr>
              <w:tab/>
              <w:t xml:space="preserve">if it is a </w:t>
            </w:r>
            <w:hyperlink r:id="rId34" w:anchor="G1143" w:tgtFrame="w_glossary" w:history="1">
              <w:r>
                <w:rPr>
                  <w:rFonts w:cs="Arial"/>
                  <w:iCs/>
                  <w:shd w:val="clear" w:color="auto" w:fill="FFFFFF"/>
                </w:rPr>
                <w:t>subsidiary</w:t>
              </w:r>
            </w:hyperlink>
            <w:r>
              <w:rPr>
                <w:rFonts w:cs="Arial"/>
              </w:rPr>
              <w:t xml:space="preserve">, the name of its ultimate </w:t>
            </w:r>
            <w:hyperlink r:id="rId35" w:anchor="G501" w:tgtFrame="w_glossary" w:history="1">
              <w:r>
                <w:rPr>
                  <w:rFonts w:cs="Arial"/>
                  <w:iCs/>
                  <w:shd w:val="clear" w:color="auto" w:fill="FFFFFF"/>
                </w:rPr>
                <w:t>Holding Company</w:t>
              </w:r>
            </w:hyperlink>
            <w:r>
              <w:rPr>
                <w:rFonts w:cs="Arial"/>
              </w:rPr>
              <w:t xml:space="preserve"> and the country or territory in which that </w:t>
            </w:r>
            <w:hyperlink r:id="rId36" w:anchor="G501" w:tgtFrame="w_glossary" w:history="1">
              <w:r>
                <w:rPr>
                  <w:rFonts w:cs="Arial"/>
                  <w:iCs/>
                  <w:shd w:val="clear" w:color="auto" w:fill="FFFFFF"/>
                </w:rPr>
                <w:t>holding company</w:t>
              </w:r>
            </w:hyperlink>
            <w:r>
              <w:rPr>
                <w:rFonts w:cs="Arial"/>
              </w:rPr>
              <w:t xml:space="preserve"> is incorporated;</w:t>
            </w:r>
          </w:p>
        </w:tc>
        <w:tc>
          <w:tcPr>
            <w:tcW w:w="2127" w:type="dxa"/>
          </w:tcPr>
          <w:p w:rsidR="00054858" w:rsidRDefault="00054858" w:rsidP="007A4D05">
            <w:pPr>
              <w:rPr>
                <w:rFonts w:ascii="Arial" w:eastAsia="Times New Roman" w:hAnsi="Arial" w:cs="Arial"/>
                <w:szCs w:val="20"/>
                <w:lang w:val="en-US"/>
              </w:rPr>
            </w:pPr>
          </w:p>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rPr>
              <w:t>(d)</w:t>
            </w:r>
            <w:r>
              <w:rPr>
                <w:rFonts w:cs="Arial"/>
              </w:rPr>
              <w:tab/>
              <w:t>the amount of its issued share capital and how much of it is paid up; and</w:t>
            </w:r>
          </w:p>
        </w:tc>
        <w:tc>
          <w:tcPr>
            <w:tcW w:w="2127" w:type="dxa"/>
          </w:tcPr>
          <w:p w:rsidR="00054858" w:rsidRDefault="00054858"/>
        </w:tc>
        <w:tc>
          <w:tcPr>
            <w:tcW w:w="1984" w:type="dxa"/>
          </w:tcPr>
          <w:p w:rsidR="00054858" w:rsidRDefault="005236B3">
            <w:r>
              <w:rPr>
                <w:rFonts w:ascii="Arial" w:eastAsia="Times New Roman" w:hAnsi="Arial" w:cs="Arial"/>
                <w:szCs w:val="20"/>
                <w:lang w:val="en-US"/>
              </w:rPr>
              <w:t xml:space="preserve"> </w:t>
            </w:r>
          </w:p>
        </w:tc>
      </w:tr>
      <w:tr w:rsidR="00054858">
        <w:tc>
          <w:tcPr>
            <w:tcW w:w="5211" w:type="dxa"/>
          </w:tcPr>
          <w:p w:rsidR="00054858" w:rsidRDefault="00C3101D">
            <w:pPr>
              <w:ind w:left="492" w:hanging="492"/>
              <w:jc w:val="both"/>
              <w:rPr>
                <w:rFonts w:cs="Arial"/>
              </w:rPr>
            </w:pPr>
            <w:r>
              <w:rPr>
                <w:rFonts w:cs="Arial"/>
              </w:rPr>
              <w:t>(e)</w:t>
            </w:r>
            <w:r>
              <w:rPr>
                <w:rFonts w:cs="Arial"/>
              </w:rPr>
              <w:tab/>
              <w:t xml:space="preserve">a summary of the material provisions of the contract between the Fund and its Fund Manager which may be relevant to </w:t>
            </w:r>
            <w:hyperlink r:id="rId37" w:anchor="G1233" w:tgtFrame="w_glossary" w:history="1">
              <w:r>
                <w:rPr>
                  <w:rFonts w:cs="Arial"/>
                  <w:iCs/>
                  <w:shd w:val="clear" w:color="auto" w:fill="FFFFFF"/>
                </w:rPr>
                <w:t>Unitholders</w:t>
              </w:r>
            </w:hyperlink>
            <w:r>
              <w:rPr>
                <w:rFonts w:cs="Arial"/>
              </w:rPr>
              <w:t>, including provisions relating to termination, compensation on termination and indemnity.</w:t>
            </w:r>
          </w:p>
        </w:tc>
        <w:tc>
          <w:tcPr>
            <w:tcW w:w="2127" w:type="dxa"/>
          </w:tcPr>
          <w:p w:rsidR="00054858" w:rsidRDefault="00054858">
            <w:pPr>
              <w:rPr>
                <w:rFonts w:ascii="Arial" w:eastAsia="Times New Roman" w:hAnsi="Arial" w:cs="Arial"/>
                <w:szCs w:val="20"/>
                <w:lang w:val="en-US"/>
              </w:rPr>
            </w:pPr>
          </w:p>
          <w:p w:rsidR="00054858" w:rsidRDefault="00054858"/>
        </w:tc>
        <w:tc>
          <w:tcPr>
            <w:tcW w:w="1984" w:type="dxa"/>
          </w:tcPr>
          <w:p w:rsidR="00054858" w:rsidRDefault="00054858"/>
        </w:tc>
      </w:tr>
      <w:tr w:rsidR="00054858">
        <w:tc>
          <w:tcPr>
            <w:tcW w:w="9322" w:type="dxa"/>
            <w:gridSpan w:val="3"/>
          </w:tcPr>
          <w:p w:rsidR="00054858" w:rsidRDefault="00C3101D" w:rsidP="00D85AD4">
            <w:pPr>
              <w:pStyle w:val="ListParagraph"/>
              <w:numPr>
                <w:ilvl w:val="0"/>
                <w:numId w:val="11"/>
              </w:numPr>
            </w:pPr>
            <w:r w:rsidRPr="00D85AD4">
              <w:rPr>
                <w:rFonts w:cs="Arial"/>
                <w:b/>
                <w:bCs/>
              </w:rPr>
              <w:t>Directors and Partners of an Investment Undertaking</w:t>
            </w:r>
          </w:p>
        </w:tc>
      </w:tr>
      <w:tr w:rsidR="00054858">
        <w:tc>
          <w:tcPr>
            <w:tcW w:w="9322" w:type="dxa"/>
            <w:gridSpan w:val="3"/>
          </w:tcPr>
          <w:p w:rsidR="00054858" w:rsidRDefault="00C3101D">
            <w:pPr>
              <w:spacing w:after="0" w:line="240" w:lineRule="auto"/>
              <w:rPr>
                <w:rFonts w:ascii="Arial" w:eastAsia="Times New Roman" w:hAnsi="Arial" w:cs="Times New Roman"/>
                <w:szCs w:val="20"/>
                <w:lang w:val="en-US"/>
              </w:rPr>
            </w:pPr>
            <w:r>
              <w:rPr>
                <w:rFonts w:cs="Arial"/>
                <w:shd w:val="clear" w:color="auto" w:fill="FFFFFF"/>
              </w:rPr>
              <w:t>Other than for the Fund Manager:</w:t>
            </w:r>
          </w:p>
        </w:tc>
      </w:tr>
      <w:tr w:rsidR="00054858">
        <w:tc>
          <w:tcPr>
            <w:tcW w:w="5211" w:type="dxa"/>
          </w:tcPr>
          <w:p w:rsidR="00054858" w:rsidRDefault="00C3101D">
            <w:pPr>
              <w:ind w:left="492" w:hanging="492"/>
              <w:jc w:val="both"/>
              <w:rPr>
                <w:rFonts w:cs="Arial"/>
              </w:rPr>
            </w:pPr>
            <w:r>
              <w:rPr>
                <w:rFonts w:cs="Arial"/>
              </w:rPr>
              <w:t>(a)</w:t>
            </w:r>
            <w:r>
              <w:rPr>
                <w:rFonts w:cs="Arial"/>
              </w:rPr>
              <w:tab/>
              <w:t xml:space="preserve">for an Investment Company, the names and positions in the Investment Company of the </w:t>
            </w:r>
            <w:hyperlink r:id="rId38" w:anchor="G296" w:tgtFrame="w_glossary" w:history="1">
              <w:r>
                <w:rPr>
                  <w:rFonts w:cs="Arial"/>
                  <w:iCs/>
                  <w:shd w:val="clear" w:color="auto" w:fill="FFFFFF"/>
                </w:rPr>
                <w:t>Directors</w:t>
              </w:r>
            </w:hyperlink>
            <w:r>
              <w:rPr>
                <w:rFonts w:cs="Arial"/>
              </w:rPr>
              <w:t xml:space="preserve">; </w:t>
            </w:r>
          </w:p>
        </w:tc>
        <w:tc>
          <w:tcPr>
            <w:tcW w:w="2127" w:type="dxa"/>
          </w:tcPr>
          <w:p w:rsidR="00054858" w:rsidRDefault="00054858"/>
        </w:tc>
        <w:tc>
          <w:tcPr>
            <w:tcW w:w="1984" w:type="dxa"/>
          </w:tcPr>
          <w:p w:rsidR="00054858" w:rsidRDefault="00054858"/>
        </w:tc>
      </w:tr>
      <w:tr w:rsidR="00054858">
        <w:tc>
          <w:tcPr>
            <w:tcW w:w="5211" w:type="dxa"/>
          </w:tcPr>
          <w:p w:rsidR="00054858" w:rsidRDefault="00C3101D">
            <w:pPr>
              <w:ind w:left="492" w:hanging="492"/>
              <w:jc w:val="both"/>
              <w:rPr>
                <w:rFonts w:cs="Arial"/>
                <w:iCs/>
              </w:rPr>
            </w:pPr>
            <w:r>
              <w:rPr>
                <w:rFonts w:cs="Arial"/>
              </w:rPr>
              <w:t>(b)</w:t>
            </w:r>
            <w:r>
              <w:rPr>
                <w:rFonts w:cs="Arial"/>
              </w:rPr>
              <w:tab/>
              <w:t>for an Investment Partnership, the names of the other General Partners or any other partners who manage the affairs of the Fund on a day to day basis</w:t>
            </w:r>
            <w:r>
              <w:rPr>
                <w:rFonts w:cs="Arial"/>
                <w:iCs/>
              </w:rPr>
              <w:t>;</w:t>
            </w:r>
            <w:r w:rsidR="00957E98">
              <w:rPr>
                <w:rFonts w:cs="Arial"/>
                <w:iCs/>
              </w:rPr>
              <w:t xml:space="preserve"> and</w:t>
            </w:r>
          </w:p>
        </w:tc>
        <w:tc>
          <w:tcPr>
            <w:tcW w:w="2127" w:type="dxa"/>
          </w:tcPr>
          <w:p w:rsidR="00054858" w:rsidRDefault="00054858"/>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shd w:val="clear" w:color="auto" w:fill="FFFFFF"/>
              </w:rPr>
              <w:t>(c)</w:t>
            </w:r>
            <w:r>
              <w:rPr>
                <w:rFonts w:cs="Arial"/>
                <w:shd w:val="clear" w:color="auto" w:fill="FFFFFF"/>
              </w:rPr>
              <w:tab/>
            </w:r>
            <w:r>
              <w:rPr>
                <w:rFonts w:cs="Arial"/>
              </w:rPr>
              <w:t xml:space="preserve">the manner, amount and calculation of the </w:t>
            </w:r>
            <w:hyperlink r:id="rId39" w:anchor="G1013" w:tgtFrame="w_glossary" w:history="1">
              <w:r>
                <w:rPr>
                  <w:rFonts w:cs="Arial"/>
                  <w:iCs/>
                  <w:shd w:val="clear" w:color="auto" w:fill="FFFFFF"/>
                </w:rPr>
                <w:t>remuneration</w:t>
              </w:r>
            </w:hyperlink>
            <w:r>
              <w:rPr>
                <w:rFonts w:cs="Arial"/>
              </w:rPr>
              <w:t xml:space="preserve"> of the </w:t>
            </w:r>
            <w:hyperlink r:id="rId40" w:anchor="G296" w:tgtFrame="w_glossary" w:history="1">
              <w:r>
                <w:rPr>
                  <w:rFonts w:cs="Arial"/>
                  <w:iCs/>
                  <w:shd w:val="clear" w:color="auto" w:fill="FFFFFF"/>
                </w:rPr>
                <w:t>Directors</w:t>
              </w:r>
            </w:hyperlink>
            <w:r>
              <w:rPr>
                <w:rFonts w:cs="Arial"/>
              </w:rPr>
              <w:t xml:space="preserve"> or Partners in (a) or (b) as the case may be.</w:t>
            </w:r>
          </w:p>
        </w:tc>
        <w:tc>
          <w:tcPr>
            <w:tcW w:w="2127" w:type="dxa"/>
          </w:tcPr>
          <w:p w:rsidR="00054858" w:rsidRDefault="00054858"/>
        </w:tc>
        <w:tc>
          <w:tcPr>
            <w:tcW w:w="1984" w:type="dxa"/>
          </w:tcPr>
          <w:p w:rsidR="00054858" w:rsidRDefault="00054858"/>
        </w:tc>
      </w:tr>
      <w:tr w:rsidR="00054858">
        <w:tc>
          <w:tcPr>
            <w:tcW w:w="9322" w:type="dxa"/>
            <w:gridSpan w:val="3"/>
          </w:tcPr>
          <w:p w:rsidR="00054858" w:rsidRDefault="00C3101D" w:rsidP="00D85AD4">
            <w:pPr>
              <w:pStyle w:val="ListParagraph"/>
              <w:numPr>
                <w:ilvl w:val="0"/>
                <w:numId w:val="11"/>
              </w:numPr>
            </w:pPr>
            <w:r w:rsidRPr="00D85AD4">
              <w:rPr>
                <w:rFonts w:cs="Arial"/>
                <w:b/>
                <w:shd w:val="clear" w:color="auto" w:fill="FFFFFF"/>
              </w:rPr>
              <w:t>Oversight Arrangement</w:t>
            </w:r>
          </w:p>
        </w:tc>
      </w:tr>
      <w:tr w:rsidR="00054858">
        <w:tc>
          <w:tcPr>
            <w:tcW w:w="5211" w:type="dxa"/>
          </w:tcPr>
          <w:p w:rsidR="00054858" w:rsidRDefault="00C3101D">
            <w:pPr>
              <w:keepNext/>
              <w:jc w:val="both"/>
              <w:rPr>
                <w:rFonts w:cs="Arial"/>
                <w:shd w:val="clear" w:color="auto" w:fill="FFFFFF"/>
              </w:rPr>
            </w:pPr>
            <w:r>
              <w:rPr>
                <w:rFonts w:cs="Arial"/>
                <w:shd w:val="clear" w:color="auto" w:fill="FFFFFF"/>
              </w:rPr>
              <w:t>In relation to a Public Fund, the details of the Persons providing the oversight function for the Fund including their remuneration.</w:t>
            </w:r>
          </w:p>
        </w:tc>
        <w:tc>
          <w:tcPr>
            <w:tcW w:w="2127" w:type="dxa"/>
          </w:tcPr>
          <w:p w:rsidR="00054858" w:rsidRDefault="00054858">
            <w:pPr>
              <w:rPr>
                <w:rFonts w:ascii="Arial" w:eastAsia="Times New Roman" w:hAnsi="Arial" w:cs="Arial"/>
                <w:szCs w:val="20"/>
                <w:lang w:val="en-US"/>
              </w:rPr>
            </w:pPr>
          </w:p>
        </w:tc>
        <w:tc>
          <w:tcPr>
            <w:tcW w:w="1984" w:type="dxa"/>
          </w:tcPr>
          <w:p w:rsidR="005236B3" w:rsidRDefault="005236B3">
            <w:r>
              <w:rPr>
                <w:rFonts w:ascii="Arial" w:eastAsia="Times New Roman" w:hAnsi="Arial" w:cs="Arial"/>
                <w:szCs w:val="20"/>
                <w:lang w:val="en-US"/>
              </w:rPr>
              <w:t xml:space="preserve"> </w:t>
            </w:r>
          </w:p>
        </w:tc>
      </w:tr>
      <w:tr w:rsidR="00054858">
        <w:tc>
          <w:tcPr>
            <w:tcW w:w="9322" w:type="dxa"/>
            <w:gridSpan w:val="3"/>
          </w:tcPr>
          <w:p w:rsidR="00054858" w:rsidRDefault="00C3101D" w:rsidP="00D85AD4">
            <w:pPr>
              <w:pStyle w:val="ListParagraph"/>
              <w:numPr>
                <w:ilvl w:val="0"/>
                <w:numId w:val="11"/>
              </w:numPr>
            </w:pPr>
            <w:r w:rsidRPr="00D85AD4">
              <w:rPr>
                <w:rFonts w:cs="Arial"/>
                <w:b/>
                <w:shd w:val="clear" w:color="auto" w:fill="FFFFFF"/>
              </w:rPr>
              <w:t>Service Providers and Advisers</w:t>
            </w:r>
          </w:p>
        </w:tc>
      </w:tr>
      <w:tr w:rsidR="00054858">
        <w:tc>
          <w:tcPr>
            <w:tcW w:w="9322" w:type="dxa"/>
            <w:gridSpan w:val="3"/>
          </w:tcPr>
          <w:p w:rsidR="00054858" w:rsidRDefault="00C3101D">
            <w:pPr>
              <w:jc w:val="both"/>
              <w:rPr>
                <w:rFonts w:cs="Arial"/>
              </w:rPr>
            </w:pPr>
            <w:r>
              <w:rPr>
                <w:rFonts w:cs="Arial"/>
              </w:rPr>
              <w:t xml:space="preserve">If a Fund Manager delegates any activities or outsources any functions to a Service Provider or if an </w:t>
            </w:r>
            <w:hyperlink r:id="rId41" w:anchor="G589" w:tgtFrame="w_glossary" w:history="1">
              <w:r>
                <w:rPr>
                  <w:rFonts w:cs="Arial"/>
                  <w:iCs/>
                  <w:shd w:val="clear" w:color="auto" w:fill="FFFFFF"/>
                </w:rPr>
                <w:t>investment adviser</w:t>
              </w:r>
            </w:hyperlink>
            <w:r>
              <w:rPr>
                <w:rFonts w:cs="Arial"/>
              </w:rPr>
              <w:t xml:space="preserve"> is retained in connection with the business of the Fund:</w:t>
            </w:r>
          </w:p>
        </w:tc>
      </w:tr>
      <w:tr w:rsidR="00054858">
        <w:tc>
          <w:tcPr>
            <w:tcW w:w="5211" w:type="dxa"/>
          </w:tcPr>
          <w:p w:rsidR="00054858" w:rsidRDefault="00C3101D">
            <w:pPr>
              <w:ind w:left="612" w:hanging="612"/>
              <w:jc w:val="both"/>
              <w:rPr>
                <w:rFonts w:cs="Arial"/>
              </w:rPr>
            </w:pPr>
            <w:r>
              <w:rPr>
                <w:rFonts w:cs="Arial"/>
              </w:rPr>
              <w:t>(a)</w:t>
            </w:r>
            <w:r>
              <w:rPr>
                <w:rFonts w:cs="Arial"/>
              </w:rPr>
              <w:tab/>
              <w:t>its name</w:t>
            </w:r>
            <w:r w:rsidR="0054303D">
              <w:rPr>
                <w:rFonts w:cs="Arial"/>
              </w:rPr>
              <w:t>;</w:t>
            </w:r>
          </w:p>
        </w:tc>
        <w:tc>
          <w:tcPr>
            <w:tcW w:w="2127" w:type="dxa"/>
          </w:tcPr>
          <w:p w:rsidR="00054858" w:rsidRDefault="00054858"/>
        </w:tc>
        <w:tc>
          <w:tcPr>
            <w:tcW w:w="1984" w:type="dxa"/>
          </w:tcPr>
          <w:p w:rsidR="00054858" w:rsidRDefault="00054858"/>
        </w:tc>
      </w:tr>
      <w:tr w:rsidR="00054858">
        <w:tc>
          <w:tcPr>
            <w:tcW w:w="5211" w:type="dxa"/>
          </w:tcPr>
          <w:p w:rsidR="00054858" w:rsidRDefault="00C3101D">
            <w:pPr>
              <w:ind w:left="612" w:hanging="612"/>
              <w:jc w:val="both"/>
              <w:rPr>
                <w:rFonts w:cs="Arial"/>
              </w:rPr>
            </w:pPr>
            <w:r>
              <w:rPr>
                <w:rFonts w:cs="Arial"/>
              </w:rPr>
              <w:t>(b)</w:t>
            </w:r>
            <w:r>
              <w:rPr>
                <w:rFonts w:cs="Arial"/>
              </w:rPr>
              <w:tab/>
              <w:t>which Financial Services Regulator authorises that Person</w:t>
            </w:r>
            <w:r w:rsidR="0054303D">
              <w:rPr>
                <w:rFonts w:cs="Arial"/>
              </w:rPr>
              <w:t>; and</w:t>
            </w:r>
          </w:p>
        </w:tc>
        <w:tc>
          <w:tcPr>
            <w:tcW w:w="2127" w:type="dxa"/>
          </w:tcPr>
          <w:p w:rsidR="00054858" w:rsidRDefault="00054858"/>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rPr>
              <w:t>(c)</w:t>
            </w:r>
            <w:r>
              <w:rPr>
                <w:rFonts w:cs="Arial"/>
              </w:rPr>
              <w:tab/>
              <w:t>details of the arrangements</w:t>
            </w:r>
            <w:r w:rsidR="0054303D">
              <w:rPr>
                <w:rFonts w:cs="Arial"/>
              </w:rPr>
              <w:t>.</w:t>
            </w:r>
          </w:p>
        </w:tc>
        <w:tc>
          <w:tcPr>
            <w:tcW w:w="2127" w:type="dxa"/>
          </w:tcPr>
          <w:p w:rsidR="00054858" w:rsidRDefault="00054858"/>
        </w:tc>
        <w:tc>
          <w:tcPr>
            <w:tcW w:w="1984" w:type="dxa"/>
          </w:tcPr>
          <w:p w:rsidR="00054858" w:rsidRDefault="005236B3">
            <w:r>
              <w:rPr>
                <w:rFonts w:ascii="Arial" w:eastAsia="Times New Roman" w:hAnsi="Arial" w:cs="Arial"/>
                <w:szCs w:val="20"/>
                <w:lang w:val="en-US"/>
              </w:rPr>
              <w:t xml:space="preserve"> </w:t>
            </w:r>
          </w:p>
        </w:tc>
      </w:tr>
      <w:tr w:rsidR="00054858">
        <w:tc>
          <w:tcPr>
            <w:tcW w:w="9322" w:type="dxa"/>
            <w:gridSpan w:val="3"/>
          </w:tcPr>
          <w:p w:rsidR="00054858" w:rsidRDefault="00C3101D" w:rsidP="00D85AD4">
            <w:pPr>
              <w:pStyle w:val="ListParagraph"/>
              <w:numPr>
                <w:ilvl w:val="0"/>
                <w:numId w:val="11"/>
              </w:numPr>
            </w:pPr>
            <w:r w:rsidRPr="00D85AD4">
              <w:rPr>
                <w:rFonts w:cs="Arial"/>
                <w:b/>
                <w:shd w:val="clear" w:color="auto" w:fill="FFFFFF"/>
              </w:rPr>
              <w:t>The Auditor and Custodian and Trustee</w:t>
            </w:r>
          </w:p>
        </w:tc>
      </w:tr>
      <w:tr w:rsidR="00054858">
        <w:tc>
          <w:tcPr>
            <w:tcW w:w="5211" w:type="dxa"/>
          </w:tcPr>
          <w:p w:rsidR="00054858" w:rsidRDefault="00C3101D">
            <w:pPr>
              <w:jc w:val="both"/>
              <w:rPr>
                <w:rFonts w:cs="Arial"/>
              </w:rPr>
            </w:pPr>
            <w:r>
              <w:rPr>
                <w:rFonts w:cs="Arial"/>
              </w:rPr>
              <w:t xml:space="preserve">The name of the Auditor and of the Eligible Custodian of the </w:t>
            </w:r>
            <w:hyperlink r:id="rId42" w:anchor="G86" w:tgtFrame="w_glossary" w:history="1">
              <w:r>
                <w:rPr>
                  <w:rFonts w:cs="Arial"/>
                  <w:iCs/>
                  <w:shd w:val="clear" w:color="auto" w:fill="FFFFFF"/>
                </w:rPr>
                <w:t>Fund</w:t>
              </w:r>
            </w:hyperlink>
            <w:r>
              <w:rPr>
                <w:rFonts w:cs="Arial"/>
              </w:rPr>
              <w:t>. If applicable the name of the Trustee of the Fund.</w:t>
            </w:r>
          </w:p>
        </w:tc>
        <w:tc>
          <w:tcPr>
            <w:tcW w:w="2127" w:type="dxa"/>
          </w:tcPr>
          <w:p w:rsidR="00054858" w:rsidRDefault="00054858"/>
        </w:tc>
        <w:tc>
          <w:tcPr>
            <w:tcW w:w="1984" w:type="dxa"/>
          </w:tcPr>
          <w:p w:rsidR="00054858" w:rsidRDefault="00054858"/>
        </w:tc>
      </w:tr>
      <w:tr w:rsidR="00054858">
        <w:tc>
          <w:tcPr>
            <w:tcW w:w="9322" w:type="dxa"/>
            <w:gridSpan w:val="3"/>
          </w:tcPr>
          <w:p w:rsidR="00054858" w:rsidRPr="00D85AD4" w:rsidRDefault="00C3101D" w:rsidP="00D85AD4">
            <w:pPr>
              <w:pStyle w:val="ListParagraph"/>
              <w:numPr>
                <w:ilvl w:val="0"/>
                <w:numId w:val="11"/>
              </w:numPr>
              <w:rPr>
                <w:rFonts w:ascii="Arial" w:eastAsia="Times New Roman" w:hAnsi="Arial" w:cs="Arial"/>
                <w:szCs w:val="20"/>
                <w:lang w:val="en-US"/>
              </w:rPr>
            </w:pPr>
            <w:r w:rsidRPr="00D85AD4">
              <w:rPr>
                <w:rFonts w:cs="Arial"/>
                <w:b/>
                <w:shd w:val="clear" w:color="auto" w:fill="FFFFFF"/>
              </w:rPr>
              <w:t>The Register of Unitholders</w:t>
            </w:r>
          </w:p>
        </w:tc>
      </w:tr>
      <w:tr w:rsidR="00054858">
        <w:tc>
          <w:tcPr>
            <w:tcW w:w="5211" w:type="dxa"/>
          </w:tcPr>
          <w:p w:rsidR="00054858" w:rsidRDefault="00C3101D">
            <w:pPr>
              <w:jc w:val="both"/>
              <w:rPr>
                <w:rFonts w:cs="Arial"/>
              </w:rPr>
            </w:pPr>
            <w:r>
              <w:rPr>
                <w:rFonts w:cs="Arial"/>
              </w:rPr>
              <w:t xml:space="preserve">Details of the address in the DIFC where the </w:t>
            </w:r>
            <w:hyperlink r:id="rId43" w:anchor="G968" w:tgtFrame="w_glossary" w:history="1">
              <w:r>
                <w:rPr>
                  <w:rFonts w:cs="Arial"/>
                  <w:iCs/>
                  <w:shd w:val="clear" w:color="auto" w:fill="FFFFFF"/>
                </w:rPr>
                <w:t>register</w:t>
              </w:r>
            </w:hyperlink>
            <w:r>
              <w:rPr>
                <w:rFonts w:cs="Arial"/>
              </w:rPr>
              <w:t xml:space="preserve"> of </w:t>
            </w:r>
            <w:hyperlink r:id="rId44" w:anchor="G1233" w:tgtFrame="w_glossary" w:history="1">
              <w:r>
                <w:rPr>
                  <w:rFonts w:cs="Arial"/>
                  <w:iCs/>
                  <w:shd w:val="clear" w:color="auto" w:fill="FFFFFF"/>
                </w:rPr>
                <w:t>Unitholders</w:t>
              </w:r>
            </w:hyperlink>
            <w:r>
              <w:rPr>
                <w:rFonts w:cs="Arial"/>
              </w:rPr>
              <w:t xml:space="preserve"> is kept and can be inspected by </w:t>
            </w:r>
            <w:hyperlink r:id="rId45" w:anchor="G1233" w:tgtFrame="w_glossary" w:history="1">
              <w:r>
                <w:rPr>
                  <w:rFonts w:cs="Arial"/>
                  <w:iCs/>
                  <w:shd w:val="clear" w:color="auto" w:fill="FFFFFF"/>
                </w:rPr>
                <w:t>Unitholders</w:t>
              </w:r>
            </w:hyperlink>
            <w:r>
              <w:rPr>
                <w:rFonts w:cs="Arial"/>
              </w:rPr>
              <w:t xml:space="preserve"> of the Fund.</w:t>
            </w:r>
          </w:p>
        </w:tc>
        <w:tc>
          <w:tcPr>
            <w:tcW w:w="2127" w:type="dxa"/>
          </w:tcPr>
          <w:p w:rsidR="00054858" w:rsidRDefault="00054858" w:rsidP="007A4D05"/>
        </w:tc>
        <w:tc>
          <w:tcPr>
            <w:tcW w:w="1984" w:type="dxa"/>
          </w:tcPr>
          <w:p w:rsidR="00054858" w:rsidRDefault="00054858"/>
        </w:tc>
      </w:tr>
      <w:tr w:rsidR="00054858">
        <w:tc>
          <w:tcPr>
            <w:tcW w:w="9322" w:type="dxa"/>
            <w:gridSpan w:val="3"/>
          </w:tcPr>
          <w:p w:rsidR="00054858" w:rsidRPr="00D85AD4" w:rsidRDefault="00C3101D" w:rsidP="00D85AD4">
            <w:pPr>
              <w:pStyle w:val="ListParagraph"/>
              <w:numPr>
                <w:ilvl w:val="0"/>
                <w:numId w:val="11"/>
              </w:numPr>
              <w:rPr>
                <w:rFonts w:ascii="Arial" w:eastAsia="Times New Roman" w:hAnsi="Arial" w:cs="Arial"/>
                <w:szCs w:val="20"/>
                <w:lang w:val="en-US"/>
              </w:rPr>
            </w:pPr>
            <w:r w:rsidRPr="00D85AD4">
              <w:rPr>
                <w:rFonts w:cs="Arial"/>
                <w:b/>
                <w:bCs/>
              </w:rPr>
              <w:t>Payments out of the Fund Property</w:t>
            </w:r>
          </w:p>
        </w:tc>
      </w:tr>
      <w:tr w:rsidR="00054858">
        <w:tc>
          <w:tcPr>
            <w:tcW w:w="5211" w:type="dxa"/>
          </w:tcPr>
          <w:p w:rsidR="00054858" w:rsidRDefault="00C3101D">
            <w:pPr>
              <w:jc w:val="both"/>
              <w:rPr>
                <w:rFonts w:cs="Arial"/>
              </w:rPr>
            </w:pPr>
            <w:r>
              <w:rPr>
                <w:rFonts w:cs="Arial"/>
              </w:rPr>
              <w:t xml:space="preserve">The payments that may be made out of the </w:t>
            </w:r>
            <w:hyperlink r:id="rId46" w:anchor="G1049" w:tgtFrame="w_glossary" w:history="1">
              <w:r>
                <w:rPr>
                  <w:rFonts w:cs="Arial"/>
                  <w:iCs/>
                  <w:shd w:val="clear" w:color="auto" w:fill="FFFFFF"/>
                </w:rPr>
                <w:t>Fund</w:t>
              </w:r>
            </w:hyperlink>
            <w:r>
              <w:rPr>
                <w:rFonts w:cs="Arial"/>
              </w:rPr>
              <w:t xml:space="preserve"> Property to any </w:t>
            </w:r>
            <w:hyperlink r:id="rId47" w:anchor="G869" w:tgtFrame="w_glossary" w:history="1">
              <w:r>
                <w:rPr>
                  <w:rFonts w:cs="Arial"/>
                  <w:iCs/>
                  <w:shd w:val="clear" w:color="auto" w:fill="FFFFFF"/>
                </w:rPr>
                <w:t>Person</w:t>
              </w:r>
            </w:hyperlink>
            <w:r>
              <w:rPr>
                <w:rFonts w:cs="Arial"/>
              </w:rPr>
              <w:t xml:space="preserve">, whether by way of </w:t>
            </w:r>
            <w:hyperlink r:id="rId48" w:anchor="G1013" w:tgtFrame="w_glossary" w:history="1">
              <w:r>
                <w:rPr>
                  <w:rFonts w:cs="Arial"/>
                  <w:iCs/>
                  <w:shd w:val="clear" w:color="auto" w:fill="FFFFFF"/>
                </w:rPr>
                <w:t>remuneration</w:t>
              </w:r>
            </w:hyperlink>
            <w:r>
              <w:rPr>
                <w:rFonts w:cs="Arial"/>
              </w:rPr>
              <w:t xml:space="preserve"> for services, or reimbursement of expenses.  For each category of </w:t>
            </w:r>
            <w:hyperlink r:id="rId49" w:anchor="G1013" w:tgtFrame="w_glossary" w:history="1">
              <w:r>
                <w:rPr>
                  <w:rFonts w:cs="Arial"/>
                  <w:iCs/>
                  <w:shd w:val="clear" w:color="auto" w:fill="FFFFFF"/>
                </w:rPr>
                <w:t>remuneration</w:t>
              </w:r>
            </w:hyperlink>
            <w:r>
              <w:rPr>
                <w:rFonts w:cs="Arial"/>
              </w:rPr>
              <w:t xml:space="preserve"> or expense, the following should be specified in a manner which is clear, concise and understandable for Retail Clients where the Fund is to be so offered:</w:t>
            </w:r>
          </w:p>
        </w:tc>
        <w:tc>
          <w:tcPr>
            <w:tcW w:w="2127" w:type="dxa"/>
          </w:tcPr>
          <w:p w:rsidR="00054858" w:rsidRDefault="00054858">
            <w:pPr>
              <w:rPr>
                <w:rFonts w:ascii="Arial" w:eastAsia="Times New Roman" w:hAnsi="Arial" w:cs="Arial"/>
                <w:szCs w:val="20"/>
                <w:lang w:val="en-US"/>
              </w:rPr>
            </w:pPr>
          </w:p>
        </w:tc>
        <w:tc>
          <w:tcPr>
            <w:tcW w:w="1984" w:type="dxa"/>
          </w:tcPr>
          <w:p w:rsidR="002B082A" w:rsidRDefault="002B082A" w:rsidP="002B082A">
            <w:r>
              <w:rPr>
                <w:rFonts w:ascii="Arial" w:eastAsia="Times New Roman" w:hAnsi="Arial" w:cs="Arial"/>
                <w:szCs w:val="20"/>
                <w:lang w:val="en-US"/>
              </w:rPr>
              <w:t xml:space="preserve"> </w:t>
            </w:r>
          </w:p>
        </w:tc>
      </w:tr>
      <w:tr w:rsidR="00054858">
        <w:tc>
          <w:tcPr>
            <w:tcW w:w="5211" w:type="dxa"/>
          </w:tcPr>
          <w:p w:rsidR="00054858" w:rsidRDefault="00C3101D">
            <w:pPr>
              <w:ind w:left="492" w:hanging="492"/>
              <w:jc w:val="both"/>
              <w:rPr>
                <w:rFonts w:cs="Arial"/>
              </w:rPr>
            </w:pPr>
            <w:r>
              <w:rPr>
                <w:rFonts w:cs="Arial"/>
                <w:shd w:val="clear" w:color="auto" w:fill="FFFFFF"/>
              </w:rPr>
              <w:t>(a)</w:t>
            </w:r>
            <w:r>
              <w:rPr>
                <w:rFonts w:cs="Arial"/>
                <w:shd w:val="clear" w:color="auto" w:fill="FFFFFF"/>
              </w:rPr>
              <w:tab/>
            </w:r>
            <w:r>
              <w:rPr>
                <w:rFonts w:cs="Arial"/>
              </w:rPr>
              <w:t xml:space="preserve">the current rates or amounts of such </w:t>
            </w:r>
            <w:hyperlink r:id="rId50" w:anchor="G1013" w:tgtFrame="w_glossary" w:history="1">
              <w:r>
                <w:rPr>
                  <w:rFonts w:cs="Arial"/>
                  <w:iCs/>
                  <w:shd w:val="clear" w:color="auto" w:fill="FFFFFF"/>
                </w:rPr>
                <w:t>remuneration</w:t>
              </w:r>
            </w:hyperlink>
            <w:r>
              <w:rPr>
                <w:rFonts w:cs="Arial"/>
              </w:rPr>
              <w:t>;</w:t>
            </w:r>
          </w:p>
        </w:tc>
        <w:tc>
          <w:tcPr>
            <w:tcW w:w="2127" w:type="dxa"/>
          </w:tcPr>
          <w:p w:rsidR="00054858" w:rsidRDefault="00054858" w:rsidP="000A65BA"/>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shd w:val="clear" w:color="auto" w:fill="FFFFFF"/>
              </w:rPr>
              <w:t>(b)</w:t>
            </w:r>
            <w:r>
              <w:rPr>
                <w:rFonts w:cs="Arial"/>
                <w:shd w:val="clear" w:color="auto" w:fill="FFFFFF"/>
              </w:rPr>
              <w:tab/>
            </w:r>
            <w:r>
              <w:rPr>
                <w:rFonts w:cs="Arial"/>
              </w:rPr>
              <w:t xml:space="preserve">how the </w:t>
            </w:r>
            <w:hyperlink r:id="rId51" w:anchor="G1013" w:tgtFrame="w_glossary" w:history="1">
              <w:r>
                <w:rPr>
                  <w:rFonts w:cs="Arial"/>
                  <w:iCs/>
                  <w:shd w:val="clear" w:color="auto" w:fill="FFFFFF"/>
                </w:rPr>
                <w:t>remuneration</w:t>
              </w:r>
            </w:hyperlink>
            <w:r>
              <w:rPr>
                <w:rFonts w:cs="Arial"/>
              </w:rPr>
              <w:t xml:space="preserve"> will be calculated and accrue and when it will be paid;</w:t>
            </w:r>
          </w:p>
        </w:tc>
        <w:tc>
          <w:tcPr>
            <w:tcW w:w="2127" w:type="dxa"/>
          </w:tcPr>
          <w:p w:rsidR="00054858" w:rsidRDefault="00054858" w:rsidP="000A65BA"/>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rPr>
              <w:t>(c)</w:t>
            </w:r>
            <w:r>
              <w:rPr>
                <w:rFonts w:cs="Arial"/>
              </w:rPr>
              <w:tab/>
              <w:t xml:space="preserve">how notice will be given to </w:t>
            </w:r>
            <w:hyperlink r:id="rId52" w:anchor="G1233" w:tgtFrame="w_glossary" w:history="1">
              <w:r>
                <w:rPr>
                  <w:rFonts w:cs="Arial"/>
                  <w:iCs/>
                  <w:shd w:val="clear" w:color="auto" w:fill="FFFFFF"/>
                </w:rPr>
                <w:t>Unitholders</w:t>
              </w:r>
            </w:hyperlink>
            <w:r>
              <w:rPr>
                <w:rFonts w:cs="Arial"/>
              </w:rPr>
              <w:t xml:space="preserve"> of the Fund Manager’s  intention to:</w:t>
            </w:r>
          </w:p>
        </w:tc>
        <w:tc>
          <w:tcPr>
            <w:tcW w:w="2127" w:type="dxa"/>
          </w:tcPr>
          <w:p w:rsidR="00054858" w:rsidRDefault="00054858" w:rsidP="000A65BA"/>
        </w:tc>
        <w:tc>
          <w:tcPr>
            <w:tcW w:w="1984" w:type="dxa"/>
          </w:tcPr>
          <w:p w:rsidR="00054858" w:rsidRDefault="00054858"/>
        </w:tc>
      </w:tr>
      <w:tr w:rsidR="00054858">
        <w:tc>
          <w:tcPr>
            <w:tcW w:w="5211" w:type="dxa"/>
          </w:tcPr>
          <w:p w:rsidR="00054858" w:rsidRDefault="00C3101D">
            <w:pPr>
              <w:ind w:left="984" w:hanging="492"/>
              <w:jc w:val="both"/>
              <w:rPr>
                <w:rFonts w:cs="Arial"/>
              </w:rPr>
            </w:pPr>
            <w:r>
              <w:rPr>
                <w:rFonts w:cs="Arial"/>
              </w:rPr>
              <w:t>(i)</w:t>
            </w:r>
            <w:r>
              <w:rPr>
                <w:rFonts w:cs="Arial"/>
              </w:rPr>
              <w:tab/>
              <w:t xml:space="preserve">introduce a new category of </w:t>
            </w:r>
            <w:hyperlink r:id="rId53" w:anchor="G1013" w:tgtFrame="w_glossary" w:history="1">
              <w:r>
                <w:rPr>
                  <w:rFonts w:cs="Arial"/>
                  <w:iCs/>
                  <w:shd w:val="clear" w:color="auto" w:fill="FFFFFF"/>
                </w:rPr>
                <w:t>remuneration</w:t>
              </w:r>
            </w:hyperlink>
            <w:r>
              <w:rPr>
                <w:rFonts w:cs="Arial"/>
              </w:rPr>
              <w:t xml:space="preserve"> for its services;</w:t>
            </w:r>
          </w:p>
        </w:tc>
        <w:tc>
          <w:tcPr>
            <w:tcW w:w="2127" w:type="dxa"/>
          </w:tcPr>
          <w:p w:rsidR="00054858" w:rsidRDefault="00054858" w:rsidP="000A65BA"/>
        </w:tc>
        <w:tc>
          <w:tcPr>
            <w:tcW w:w="1984" w:type="dxa"/>
          </w:tcPr>
          <w:p w:rsidR="00054858" w:rsidRDefault="00054858"/>
        </w:tc>
      </w:tr>
      <w:tr w:rsidR="00054858">
        <w:tc>
          <w:tcPr>
            <w:tcW w:w="5211" w:type="dxa"/>
          </w:tcPr>
          <w:p w:rsidR="00054858" w:rsidRDefault="00C3101D">
            <w:pPr>
              <w:ind w:left="984" w:hanging="492"/>
              <w:jc w:val="both"/>
              <w:rPr>
                <w:rFonts w:cs="Arial"/>
              </w:rPr>
            </w:pPr>
            <w:r>
              <w:rPr>
                <w:rFonts w:cs="Arial"/>
              </w:rPr>
              <w:t>(ii)</w:t>
            </w:r>
            <w:r>
              <w:rPr>
                <w:rFonts w:cs="Arial"/>
              </w:rPr>
              <w:tab/>
              <w:t xml:space="preserve">increase the basis of any current charge; </w:t>
            </w:r>
          </w:p>
        </w:tc>
        <w:tc>
          <w:tcPr>
            <w:tcW w:w="2127" w:type="dxa"/>
          </w:tcPr>
          <w:p w:rsidR="00054858" w:rsidRDefault="00054858" w:rsidP="000A65BA"/>
        </w:tc>
        <w:tc>
          <w:tcPr>
            <w:tcW w:w="1984" w:type="dxa"/>
          </w:tcPr>
          <w:p w:rsidR="00054858" w:rsidRDefault="00054858"/>
        </w:tc>
      </w:tr>
      <w:tr w:rsidR="00054858">
        <w:tc>
          <w:tcPr>
            <w:tcW w:w="5211" w:type="dxa"/>
          </w:tcPr>
          <w:p w:rsidR="00054858" w:rsidRDefault="00C3101D">
            <w:pPr>
              <w:ind w:left="984" w:hanging="492"/>
              <w:jc w:val="both"/>
              <w:rPr>
                <w:rFonts w:cs="Arial"/>
              </w:rPr>
            </w:pPr>
            <w:r>
              <w:rPr>
                <w:rFonts w:cs="Arial"/>
              </w:rPr>
              <w:t>(iii)</w:t>
            </w:r>
            <w:r>
              <w:rPr>
                <w:rFonts w:cs="Arial"/>
              </w:rPr>
              <w:tab/>
              <w:t xml:space="preserve">change the basis of the treatment of a payment from the </w:t>
            </w:r>
            <w:hyperlink r:id="rId54" w:anchor="G131" w:tgtFrame="w_glossary" w:history="1">
              <w:r>
                <w:rPr>
                  <w:rFonts w:cs="Arial"/>
                  <w:iCs/>
                  <w:shd w:val="clear" w:color="auto" w:fill="FFFFFF"/>
                </w:rPr>
                <w:t>capital property</w:t>
              </w:r>
            </w:hyperlink>
            <w:r>
              <w:rPr>
                <w:rFonts w:cs="Arial"/>
              </w:rPr>
              <w:t>; and</w:t>
            </w:r>
          </w:p>
        </w:tc>
        <w:tc>
          <w:tcPr>
            <w:tcW w:w="2127" w:type="dxa"/>
          </w:tcPr>
          <w:p w:rsidR="00054858" w:rsidRDefault="00054858" w:rsidP="000A65BA"/>
        </w:tc>
        <w:tc>
          <w:tcPr>
            <w:tcW w:w="1984" w:type="dxa"/>
          </w:tcPr>
          <w:p w:rsidR="00054858" w:rsidRDefault="00054858"/>
        </w:tc>
      </w:tr>
      <w:tr w:rsidR="00054858">
        <w:tc>
          <w:tcPr>
            <w:tcW w:w="5211" w:type="dxa"/>
          </w:tcPr>
          <w:p w:rsidR="00054858" w:rsidRDefault="00C3101D">
            <w:pPr>
              <w:ind w:left="984" w:hanging="492"/>
              <w:jc w:val="both"/>
              <w:rPr>
                <w:rFonts w:cs="Arial"/>
              </w:rPr>
            </w:pPr>
            <w:r>
              <w:rPr>
                <w:rFonts w:cs="Arial"/>
              </w:rPr>
              <w:t>(iv)</w:t>
            </w:r>
            <w:r>
              <w:rPr>
                <w:rFonts w:cs="Arial"/>
              </w:rPr>
              <w:tab/>
              <w:t>particulars of that introduction or increase and when it will take place;</w:t>
            </w:r>
          </w:p>
        </w:tc>
        <w:tc>
          <w:tcPr>
            <w:tcW w:w="2127" w:type="dxa"/>
          </w:tcPr>
          <w:p w:rsidR="00054858" w:rsidRDefault="00054858" w:rsidP="000A65BA"/>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rPr>
              <w:t>(d)</w:t>
            </w:r>
            <w:r>
              <w:rPr>
                <w:rFonts w:cs="Arial"/>
              </w:rPr>
              <w:tab/>
              <w:t>the types of any other charges and expenses that may be taken out of the Fund Property</w:t>
            </w:r>
            <w:hyperlink r:id="rId55" w:anchor="G1049" w:tgtFrame="w_glossary" w:history="1"/>
            <w:r>
              <w:rPr>
                <w:rFonts w:cs="Arial"/>
              </w:rPr>
              <w:t>; and</w:t>
            </w:r>
          </w:p>
        </w:tc>
        <w:tc>
          <w:tcPr>
            <w:tcW w:w="2127" w:type="dxa"/>
          </w:tcPr>
          <w:p w:rsidR="00054858" w:rsidRDefault="00054858" w:rsidP="000A65BA"/>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shd w:val="clear" w:color="auto" w:fill="FFFFFF"/>
              </w:rPr>
              <w:t>(e)</w:t>
            </w:r>
            <w:r>
              <w:rPr>
                <w:rFonts w:cs="Arial"/>
                <w:shd w:val="clear" w:color="auto" w:fill="FFFFFF"/>
              </w:rPr>
              <w:tab/>
            </w:r>
            <w:r>
              <w:rPr>
                <w:rFonts w:cs="Arial"/>
              </w:rPr>
              <w:t xml:space="preserve">if, in accordance with the relevant provisions of the </w:t>
            </w:r>
            <w:r w:rsidR="001449AC">
              <w:rPr>
                <w:rFonts w:cs="Arial"/>
              </w:rPr>
              <w:t xml:space="preserve">CIR </w:t>
            </w:r>
            <w:r>
              <w:rPr>
                <w:rFonts w:cs="Arial"/>
              </w:rPr>
              <w:t xml:space="preserve">Rules, all or part of the </w:t>
            </w:r>
            <w:hyperlink r:id="rId56" w:anchor="G1013" w:tgtFrame="w_glossary" w:history="1">
              <w:r>
                <w:rPr>
                  <w:rFonts w:cs="Arial"/>
                  <w:iCs/>
                  <w:shd w:val="clear" w:color="auto" w:fill="FFFFFF"/>
                </w:rPr>
                <w:t>remuneration</w:t>
              </w:r>
            </w:hyperlink>
            <w:r>
              <w:rPr>
                <w:rFonts w:cs="Arial"/>
              </w:rPr>
              <w:t xml:space="preserve"> or expenses are to be treated as a capital charge:</w:t>
            </w:r>
          </w:p>
          <w:p w:rsidR="00054858" w:rsidRDefault="00C3101D">
            <w:pPr>
              <w:tabs>
                <w:tab w:val="left" w:pos="972"/>
              </w:tabs>
              <w:ind w:left="492"/>
              <w:jc w:val="both"/>
              <w:rPr>
                <w:rFonts w:cs="Arial"/>
              </w:rPr>
            </w:pPr>
            <w:r>
              <w:rPr>
                <w:rFonts w:cs="Arial"/>
              </w:rPr>
              <w:t>(i)</w:t>
            </w:r>
            <w:r>
              <w:rPr>
                <w:rFonts w:cs="Arial"/>
              </w:rPr>
              <w:tab/>
              <w:t>that fact; and</w:t>
            </w:r>
          </w:p>
          <w:p w:rsidR="00054858" w:rsidRDefault="00C3101D">
            <w:pPr>
              <w:tabs>
                <w:tab w:val="left" w:pos="432"/>
                <w:tab w:val="left" w:pos="972"/>
              </w:tabs>
              <w:ind w:left="432"/>
              <w:jc w:val="both"/>
              <w:rPr>
                <w:rFonts w:cs="Arial"/>
              </w:rPr>
            </w:pPr>
            <w:r>
              <w:rPr>
                <w:rFonts w:cs="Arial"/>
              </w:rPr>
              <w:t xml:space="preserve"> (ii)</w:t>
            </w:r>
            <w:r>
              <w:rPr>
                <w:rFonts w:cs="Arial"/>
              </w:rPr>
              <w:tab/>
              <w:t>the basis of the charges which may be so treated.</w:t>
            </w:r>
          </w:p>
        </w:tc>
        <w:tc>
          <w:tcPr>
            <w:tcW w:w="2127" w:type="dxa"/>
          </w:tcPr>
          <w:p w:rsidR="00054858" w:rsidRDefault="00054858"/>
        </w:tc>
        <w:tc>
          <w:tcPr>
            <w:tcW w:w="1984" w:type="dxa"/>
          </w:tcPr>
          <w:p w:rsidR="00054858" w:rsidRDefault="00054858"/>
        </w:tc>
      </w:tr>
      <w:tr w:rsidR="00054858">
        <w:tc>
          <w:tcPr>
            <w:tcW w:w="9322" w:type="dxa"/>
            <w:gridSpan w:val="3"/>
          </w:tcPr>
          <w:p w:rsidR="00054858" w:rsidRDefault="00C3101D" w:rsidP="00D85AD4">
            <w:pPr>
              <w:pStyle w:val="ListParagraph"/>
              <w:numPr>
                <w:ilvl w:val="0"/>
                <w:numId w:val="11"/>
              </w:numPr>
            </w:pPr>
            <w:r w:rsidRPr="00D85AD4">
              <w:rPr>
                <w:rFonts w:cs="Arial"/>
                <w:b/>
                <w:shd w:val="clear" w:color="auto" w:fill="FFFFFF"/>
              </w:rPr>
              <w:t>Dealing</w:t>
            </w:r>
          </w:p>
        </w:tc>
      </w:tr>
      <w:tr w:rsidR="00054858">
        <w:tc>
          <w:tcPr>
            <w:tcW w:w="9322" w:type="dxa"/>
            <w:gridSpan w:val="3"/>
          </w:tcPr>
          <w:p w:rsidR="00054858" w:rsidRDefault="00C3101D">
            <w:r>
              <w:rPr>
                <w:rFonts w:cs="Arial"/>
                <w:shd w:val="clear" w:color="auto" w:fill="FFFFFF"/>
              </w:rPr>
              <w:t>Details of:</w:t>
            </w:r>
          </w:p>
        </w:tc>
      </w:tr>
      <w:tr w:rsidR="00054858">
        <w:tc>
          <w:tcPr>
            <w:tcW w:w="5211" w:type="dxa"/>
          </w:tcPr>
          <w:p w:rsidR="00054858" w:rsidRDefault="00C3101D">
            <w:pPr>
              <w:ind w:left="492" w:hanging="492"/>
              <w:jc w:val="both"/>
              <w:rPr>
                <w:rFonts w:cs="Arial"/>
              </w:rPr>
            </w:pPr>
            <w:r>
              <w:rPr>
                <w:rFonts w:cs="Arial"/>
              </w:rPr>
              <w:t>(a)</w:t>
            </w:r>
            <w:r>
              <w:rPr>
                <w:rFonts w:cs="Arial"/>
              </w:rPr>
              <w:tab/>
              <w:t xml:space="preserve">the </w:t>
            </w:r>
            <w:hyperlink r:id="rId57" w:anchor="G262" w:tgtFrame="w_glossary" w:history="1">
              <w:r>
                <w:rPr>
                  <w:rFonts w:cs="Arial"/>
                  <w:iCs/>
                  <w:shd w:val="clear" w:color="auto" w:fill="FFFFFF"/>
                </w:rPr>
                <w:t>dealing days</w:t>
              </w:r>
            </w:hyperlink>
            <w:r>
              <w:rPr>
                <w:rFonts w:cs="Arial"/>
              </w:rPr>
              <w:t xml:space="preserve"> and times in the </w:t>
            </w:r>
            <w:hyperlink r:id="rId58" w:anchor="G262" w:tgtFrame="w_glossary" w:history="1">
              <w:r>
                <w:rPr>
                  <w:rFonts w:cs="Arial"/>
                  <w:iCs/>
                  <w:shd w:val="clear" w:color="auto" w:fill="FFFFFF"/>
                </w:rPr>
                <w:t>dealing day</w:t>
              </w:r>
            </w:hyperlink>
            <w:r>
              <w:rPr>
                <w:rFonts w:cs="Arial"/>
              </w:rPr>
              <w:t xml:space="preserve"> on which the Fund Manager will receive requests for the </w:t>
            </w:r>
            <w:hyperlink r:id="rId59" w:anchor="G1040" w:tgtFrame="w_glossary" w:history="1">
              <w:r>
                <w:rPr>
                  <w:rFonts w:cs="Arial"/>
                  <w:iCs/>
                  <w:shd w:val="clear" w:color="auto" w:fill="FFFFFF"/>
                </w:rPr>
                <w:t>sale</w:t>
              </w:r>
            </w:hyperlink>
            <w:r>
              <w:rPr>
                <w:rFonts w:cs="Arial"/>
              </w:rPr>
              <w:t xml:space="preserve"> and </w:t>
            </w:r>
            <w:hyperlink r:id="rId60" w:anchor="G964" w:tgtFrame="w_glossary" w:history="1">
              <w:r>
                <w:rPr>
                  <w:rFonts w:cs="Arial"/>
                  <w:iCs/>
                  <w:shd w:val="clear" w:color="auto" w:fill="FFFFFF"/>
                </w:rPr>
                <w:t>redemption</w:t>
              </w:r>
            </w:hyperlink>
            <w:r>
              <w:rPr>
                <w:rFonts w:cs="Arial"/>
              </w:rPr>
              <w:t xml:space="preserve"> of Units</w:t>
            </w:r>
            <w:r w:rsidR="00D074A2">
              <w:rPr>
                <w:rFonts w:cs="Arial"/>
              </w:rPr>
              <w:t>;</w:t>
            </w:r>
          </w:p>
        </w:tc>
        <w:tc>
          <w:tcPr>
            <w:tcW w:w="2127" w:type="dxa"/>
          </w:tcPr>
          <w:p w:rsidR="00054858" w:rsidRDefault="00054858"/>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shd w:val="clear" w:color="auto" w:fill="FFFFFF"/>
              </w:rPr>
              <w:t>(b)</w:t>
            </w:r>
            <w:r>
              <w:rPr>
                <w:rFonts w:cs="Arial"/>
                <w:shd w:val="clear" w:color="auto" w:fill="FFFFFF"/>
              </w:rPr>
              <w:tab/>
            </w:r>
            <w:r>
              <w:rPr>
                <w:rFonts w:cs="Arial"/>
              </w:rPr>
              <w:t>the procedures for effecting:</w:t>
            </w:r>
          </w:p>
          <w:p w:rsidR="00054858" w:rsidRDefault="00C3101D">
            <w:pPr>
              <w:tabs>
                <w:tab w:val="left" w:pos="972"/>
              </w:tabs>
              <w:ind w:left="492"/>
              <w:jc w:val="both"/>
              <w:rPr>
                <w:rFonts w:cs="Arial"/>
              </w:rPr>
            </w:pPr>
            <w:r>
              <w:rPr>
                <w:rFonts w:cs="Arial"/>
              </w:rPr>
              <w:t>(i)</w:t>
            </w:r>
            <w:r>
              <w:rPr>
                <w:rFonts w:cs="Arial"/>
              </w:rPr>
              <w:tab/>
              <w:t xml:space="preserve">the issue, </w:t>
            </w:r>
            <w:hyperlink r:id="rId61" w:anchor="G1040" w:tgtFrame="w_glossary" w:history="1">
              <w:r>
                <w:rPr>
                  <w:rFonts w:cs="Arial"/>
                  <w:iCs/>
                  <w:shd w:val="clear" w:color="auto" w:fill="FFFFFF"/>
                </w:rPr>
                <w:t>sale</w:t>
              </w:r>
            </w:hyperlink>
            <w:r>
              <w:rPr>
                <w:rFonts w:cs="Arial"/>
              </w:rPr>
              <w:t xml:space="preserve"> and </w:t>
            </w:r>
            <w:hyperlink r:id="rId62" w:anchor="G964" w:tgtFrame="w_glossary" w:history="1">
              <w:r>
                <w:rPr>
                  <w:rFonts w:cs="Arial"/>
                  <w:iCs/>
                  <w:shd w:val="clear" w:color="auto" w:fill="FFFFFF"/>
                </w:rPr>
                <w:t>redemption</w:t>
              </w:r>
            </w:hyperlink>
            <w:r>
              <w:rPr>
                <w:rFonts w:cs="Arial"/>
              </w:rPr>
              <w:t xml:space="preserve"> of </w:t>
            </w:r>
            <w:hyperlink r:id="rId63" w:anchor="G1230" w:tgtFrame="w_glossary" w:history="1">
              <w:r>
                <w:rPr>
                  <w:rFonts w:cs="Arial"/>
                  <w:iCs/>
                  <w:shd w:val="clear" w:color="auto" w:fill="FFFFFF"/>
                </w:rPr>
                <w:t>Units</w:t>
              </w:r>
            </w:hyperlink>
            <w:r>
              <w:rPr>
                <w:rFonts w:cs="Arial"/>
              </w:rPr>
              <w:t>; and</w:t>
            </w:r>
          </w:p>
          <w:p w:rsidR="00054858" w:rsidRDefault="00C3101D">
            <w:pPr>
              <w:tabs>
                <w:tab w:val="left" w:pos="972"/>
              </w:tabs>
              <w:ind w:left="492"/>
              <w:jc w:val="both"/>
              <w:rPr>
                <w:rFonts w:cs="Arial"/>
              </w:rPr>
            </w:pPr>
            <w:r>
              <w:rPr>
                <w:rFonts w:cs="Arial"/>
              </w:rPr>
              <w:t>(ii)</w:t>
            </w:r>
            <w:r>
              <w:rPr>
                <w:rFonts w:cs="Arial"/>
              </w:rPr>
              <w:tab/>
              <w:t>the settlement of transactions;</w:t>
            </w:r>
          </w:p>
        </w:tc>
        <w:tc>
          <w:tcPr>
            <w:tcW w:w="2127" w:type="dxa"/>
          </w:tcPr>
          <w:p w:rsidR="00054858" w:rsidRDefault="00054858"/>
        </w:tc>
        <w:tc>
          <w:tcPr>
            <w:tcW w:w="1984" w:type="dxa"/>
          </w:tcPr>
          <w:p w:rsidR="00054858" w:rsidRDefault="00054858"/>
        </w:tc>
      </w:tr>
      <w:tr w:rsidR="00054858">
        <w:tc>
          <w:tcPr>
            <w:tcW w:w="5211" w:type="dxa"/>
          </w:tcPr>
          <w:p w:rsidR="00054858" w:rsidRDefault="00C3101D">
            <w:pPr>
              <w:ind w:left="492" w:hanging="492"/>
              <w:jc w:val="both"/>
              <w:rPr>
                <w:rFonts w:cs="Arial"/>
                <w:shd w:val="clear" w:color="auto" w:fill="FFFFFF"/>
              </w:rPr>
            </w:pPr>
            <w:r>
              <w:rPr>
                <w:rFonts w:cs="Arial"/>
              </w:rPr>
              <w:t>(c)</w:t>
            </w:r>
            <w:r>
              <w:rPr>
                <w:rFonts w:cs="Arial"/>
              </w:rPr>
              <w:tab/>
              <w:t xml:space="preserve">the steps required to be taken by a </w:t>
            </w:r>
            <w:hyperlink r:id="rId64" w:anchor="G1233" w:tgtFrame="w_glossary" w:history="1">
              <w:r>
                <w:rPr>
                  <w:rFonts w:cs="Arial"/>
                  <w:iCs/>
                  <w:shd w:val="clear" w:color="auto" w:fill="FFFFFF"/>
                </w:rPr>
                <w:t>Unitholder</w:t>
              </w:r>
            </w:hyperlink>
            <w:r>
              <w:rPr>
                <w:rFonts w:cs="Arial"/>
              </w:rPr>
              <w:t xml:space="preserve"> in redeeming </w:t>
            </w:r>
            <w:hyperlink r:id="rId65" w:anchor="G1230" w:tgtFrame="w_glossary" w:history="1">
              <w:r>
                <w:rPr>
                  <w:rFonts w:cs="Arial"/>
                  <w:iCs/>
                  <w:shd w:val="clear" w:color="auto" w:fill="FFFFFF"/>
                </w:rPr>
                <w:t>Units</w:t>
              </w:r>
            </w:hyperlink>
            <w:r>
              <w:rPr>
                <w:rFonts w:cs="Arial"/>
              </w:rPr>
              <w:t xml:space="preserve"> before he can receive the proceeds, including any relevant notice periods, and the circumstances and periods in which a deferral of payment may be applied;</w:t>
            </w:r>
          </w:p>
        </w:tc>
        <w:tc>
          <w:tcPr>
            <w:tcW w:w="2127" w:type="dxa"/>
          </w:tcPr>
          <w:p w:rsidR="00054858" w:rsidRDefault="00054858" w:rsidP="000A65BA"/>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shd w:val="clear" w:color="auto" w:fill="FFFFFF"/>
              </w:rPr>
              <w:t>(d)</w:t>
            </w:r>
            <w:r>
              <w:rPr>
                <w:rFonts w:cs="Arial"/>
                <w:shd w:val="clear" w:color="auto" w:fill="FFFFFF"/>
              </w:rPr>
              <w:tab/>
            </w:r>
            <w:r>
              <w:rPr>
                <w:rFonts w:cs="Arial"/>
              </w:rPr>
              <w:t xml:space="preserve">the circumstances in which the </w:t>
            </w:r>
            <w:hyperlink r:id="rId66" w:anchor="G964" w:tgtFrame="w_glossary" w:history="1">
              <w:r>
                <w:rPr>
                  <w:rFonts w:cs="Arial"/>
                  <w:iCs/>
                  <w:shd w:val="clear" w:color="auto" w:fill="FFFFFF"/>
                </w:rPr>
                <w:t>redemption</w:t>
              </w:r>
            </w:hyperlink>
            <w:r>
              <w:rPr>
                <w:rFonts w:cs="Arial"/>
              </w:rPr>
              <w:t xml:space="preserve"> of </w:t>
            </w:r>
            <w:hyperlink r:id="rId67" w:anchor="G1230" w:tgtFrame="w_glossary" w:history="1">
              <w:r>
                <w:rPr>
                  <w:rFonts w:cs="Arial"/>
                  <w:iCs/>
                  <w:shd w:val="clear" w:color="auto" w:fill="FFFFFF"/>
                </w:rPr>
                <w:t>Units</w:t>
              </w:r>
            </w:hyperlink>
            <w:r>
              <w:rPr>
                <w:rFonts w:cs="Arial"/>
              </w:rPr>
              <w:t xml:space="preserve"> may be suspended;</w:t>
            </w:r>
          </w:p>
        </w:tc>
        <w:tc>
          <w:tcPr>
            <w:tcW w:w="2127" w:type="dxa"/>
          </w:tcPr>
          <w:p w:rsidR="00054858" w:rsidRDefault="00054858" w:rsidP="000A65BA"/>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shd w:val="clear" w:color="auto" w:fill="FFFFFF"/>
              </w:rPr>
              <w:t>(e)</w:t>
            </w:r>
            <w:r>
              <w:rPr>
                <w:rFonts w:cs="Arial"/>
                <w:shd w:val="clear" w:color="auto" w:fill="FFFFFF"/>
              </w:rPr>
              <w:tab/>
            </w:r>
            <w:r>
              <w:rPr>
                <w:rFonts w:cs="Arial"/>
              </w:rPr>
              <w:t xml:space="preserve">details of the minimum number or value of each type of </w:t>
            </w:r>
            <w:hyperlink r:id="rId68" w:anchor="G1230" w:tgtFrame="w_glossary" w:history="1">
              <w:r>
                <w:rPr>
                  <w:rFonts w:cs="Arial"/>
                  <w:iCs/>
                  <w:shd w:val="clear" w:color="auto" w:fill="FFFFFF"/>
                </w:rPr>
                <w:t>Unit</w:t>
              </w:r>
            </w:hyperlink>
            <w:r>
              <w:rPr>
                <w:rFonts w:cs="Arial"/>
              </w:rPr>
              <w:t xml:space="preserve"> in the </w:t>
            </w:r>
            <w:hyperlink r:id="rId69" w:anchor="G86" w:tgtFrame="w_glossary" w:history="1">
              <w:r>
                <w:rPr>
                  <w:rFonts w:cs="Arial"/>
                </w:rPr>
                <w:t>F</w:t>
              </w:r>
              <w:r>
                <w:rPr>
                  <w:rFonts w:cs="Arial"/>
                  <w:iCs/>
                  <w:shd w:val="clear" w:color="auto" w:fill="FFFFFF"/>
                </w:rPr>
                <w:t>und</w:t>
              </w:r>
            </w:hyperlink>
            <w:r>
              <w:rPr>
                <w:rFonts w:cs="Arial"/>
              </w:rPr>
              <w:t xml:space="preserve"> which:</w:t>
            </w:r>
          </w:p>
          <w:p w:rsidR="00054858" w:rsidRDefault="00C3101D">
            <w:pPr>
              <w:tabs>
                <w:tab w:val="left" w:pos="972"/>
              </w:tabs>
              <w:ind w:left="492"/>
              <w:jc w:val="both"/>
              <w:rPr>
                <w:rFonts w:cs="Arial"/>
              </w:rPr>
            </w:pPr>
            <w:r>
              <w:rPr>
                <w:rFonts w:cs="Arial"/>
                <w:shd w:val="clear" w:color="auto" w:fill="FFFFFF"/>
              </w:rPr>
              <w:t>(i)</w:t>
            </w:r>
            <w:r>
              <w:rPr>
                <w:rFonts w:cs="Arial"/>
                <w:shd w:val="clear" w:color="auto" w:fill="FFFFFF"/>
              </w:rPr>
              <w:tab/>
            </w:r>
            <w:r>
              <w:rPr>
                <w:rFonts w:cs="Arial"/>
              </w:rPr>
              <w:t xml:space="preserve">any one </w:t>
            </w:r>
            <w:hyperlink r:id="rId70" w:anchor="G869" w:tgtFrame="w_glossary" w:history="1">
              <w:r>
                <w:rPr>
                  <w:rFonts w:cs="Arial"/>
                  <w:iCs/>
                  <w:shd w:val="clear" w:color="auto" w:fill="FFFFFF"/>
                </w:rPr>
                <w:t>Person</w:t>
              </w:r>
            </w:hyperlink>
            <w:r>
              <w:rPr>
                <w:rFonts w:cs="Arial"/>
              </w:rPr>
              <w:t xml:space="preserve"> may hold; and</w:t>
            </w:r>
          </w:p>
          <w:p w:rsidR="00054858" w:rsidRDefault="00C3101D">
            <w:pPr>
              <w:tabs>
                <w:tab w:val="left" w:pos="972"/>
              </w:tabs>
              <w:ind w:left="972" w:hanging="480"/>
              <w:jc w:val="both"/>
              <w:rPr>
                <w:rFonts w:cs="Arial"/>
              </w:rPr>
            </w:pPr>
            <w:r>
              <w:rPr>
                <w:rFonts w:cs="Arial"/>
              </w:rPr>
              <w:t>(ii)</w:t>
            </w:r>
            <w:r>
              <w:rPr>
                <w:rFonts w:cs="Arial"/>
              </w:rPr>
              <w:tab/>
              <w:t xml:space="preserve">may be the subject of any one transaction of issue, </w:t>
            </w:r>
            <w:hyperlink r:id="rId71" w:anchor="G1040" w:tgtFrame="w_glossary" w:history="1">
              <w:r>
                <w:rPr>
                  <w:rFonts w:cs="Arial"/>
                  <w:iCs/>
                  <w:shd w:val="clear" w:color="auto" w:fill="FFFFFF"/>
                </w:rPr>
                <w:t>sale</w:t>
              </w:r>
            </w:hyperlink>
            <w:r>
              <w:rPr>
                <w:rFonts w:cs="Arial"/>
              </w:rPr>
              <w:t xml:space="preserve"> or</w:t>
            </w:r>
            <w:r>
              <w:rPr>
                <w:rFonts w:cs="Arial"/>
                <w:iCs/>
              </w:rPr>
              <w:t xml:space="preserve"> redemption by the Fund Manager</w:t>
            </w:r>
            <w:r w:rsidR="00D074A2">
              <w:rPr>
                <w:rFonts w:cs="Arial"/>
                <w:iCs/>
              </w:rPr>
              <w:t>;</w:t>
            </w:r>
          </w:p>
        </w:tc>
        <w:tc>
          <w:tcPr>
            <w:tcW w:w="2127" w:type="dxa"/>
          </w:tcPr>
          <w:p w:rsidR="00054858" w:rsidRDefault="00054858"/>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iCs/>
              </w:rPr>
              <w:t>(f)</w:t>
            </w:r>
            <w:r>
              <w:rPr>
                <w:rFonts w:cs="Arial"/>
                <w:iCs/>
              </w:rPr>
              <w:tab/>
            </w:r>
            <w:r>
              <w:rPr>
                <w:rFonts w:cs="Arial"/>
              </w:rPr>
              <w:t xml:space="preserve">the circumstances in which the Fund Manager may arrange for, and the procedure for, a </w:t>
            </w:r>
            <w:hyperlink r:id="rId72" w:anchor="G964" w:tgtFrame="w_glossary" w:history="1">
              <w:r>
                <w:rPr>
                  <w:rFonts w:cs="Arial"/>
                  <w:iCs/>
                  <w:shd w:val="clear" w:color="auto" w:fill="FFFFFF"/>
                </w:rPr>
                <w:t>redemption</w:t>
              </w:r>
            </w:hyperlink>
            <w:r>
              <w:rPr>
                <w:rFonts w:cs="Arial"/>
              </w:rPr>
              <w:t xml:space="preserve"> of </w:t>
            </w:r>
            <w:hyperlink r:id="rId73" w:anchor="G1230" w:tgtFrame="w_glossary" w:history="1">
              <w:r>
                <w:rPr>
                  <w:rFonts w:cs="Arial"/>
                  <w:iCs/>
                  <w:shd w:val="clear" w:color="auto" w:fill="FFFFFF"/>
                </w:rPr>
                <w:t>Units</w:t>
              </w:r>
            </w:hyperlink>
            <w:r>
              <w:rPr>
                <w:rFonts w:cs="Arial"/>
              </w:rPr>
              <w:t xml:space="preserve"> in specie</w:t>
            </w:r>
            <w:r w:rsidR="00D074A2">
              <w:rPr>
                <w:rFonts w:cs="Arial"/>
              </w:rPr>
              <w:t>; and</w:t>
            </w:r>
          </w:p>
        </w:tc>
        <w:tc>
          <w:tcPr>
            <w:tcW w:w="2127" w:type="dxa"/>
          </w:tcPr>
          <w:p w:rsidR="00054858" w:rsidRDefault="00054858" w:rsidP="000A65BA"/>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iCs/>
              </w:rPr>
              <w:t>(g)</w:t>
            </w:r>
            <w:r>
              <w:rPr>
                <w:rFonts w:cs="Arial"/>
                <w:iCs/>
              </w:rPr>
              <w:tab/>
            </w:r>
            <w:r>
              <w:rPr>
                <w:rFonts w:cs="Arial"/>
              </w:rPr>
              <w:t xml:space="preserve">the circumstances in which the further </w:t>
            </w:r>
            <w:hyperlink r:id="rId74" w:anchor="G625" w:tgtFrame="w_glossary" w:history="1">
              <w:r>
                <w:rPr>
                  <w:rFonts w:cs="Arial"/>
                  <w:iCs/>
                  <w:shd w:val="clear" w:color="auto" w:fill="FFFFFF"/>
                </w:rPr>
                <w:t>issue</w:t>
              </w:r>
            </w:hyperlink>
            <w:r>
              <w:rPr>
                <w:rFonts w:cs="Arial"/>
              </w:rPr>
              <w:t xml:space="preserve"> of </w:t>
            </w:r>
            <w:hyperlink r:id="rId75" w:anchor="G1230" w:tgtFrame="w_glossary" w:history="1">
              <w:r>
                <w:rPr>
                  <w:rFonts w:cs="Arial"/>
                  <w:iCs/>
                  <w:shd w:val="clear" w:color="auto" w:fill="FFFFFF"/>
                </w:rPr>
                <w:t>Units</w:t>
              </w:r>
            </w:hyperlink>
            <w:r>
              <w:rPr>
                <w:rFonts w:cs="Arial"/>
              </w:rPr>
              <w:t xml:space="preserve"> in any particular </w:t>
            </w:r>
            <w:hyperlink r:id="rId76" w:anchor="G152" w:tgtFrame="w_glossary" w:history="1">
              <w:r>
                <w:rPr>
                  <w:rFonts w:cs="Arial"/>
                  <w:iCs/>
                  <w:shd w:val="clear" w:color="auto" w:fill="FFFFFF"/>
                </w:rPr>
                <w:t>class</w:t>
              </w:r>
            </w:hyperlink>
            <w:r>
              <w:rPr>
                <w:rFonts w:cs="Arial"/>
              </w:rPr>
              <w:t xml:space="preserve"> may be limited and the procedures relating to this.</w:t>
            </w:r>
          </w:p>
        </w:tc>
        <w:tc>
          <w:tcPr>
            <w:tcW w:w="2127" w:type="dxa"/>
          </w:tcPr>
          <w:p w:rsidR="00054858" w:rsidRDefault="00054858" w:rsidP="000A65BA"/>
        </w:tc>
        <w:tc>
          <w:tcPr>
            <w:tcW w:w="1984" w:type="dxa"/>
          </w:tcPr>
          <w:p w:rsidR="00054858" w:rsidRDefault="00054858"/>
        </w:tc>
      </w:tr>
      <w:tr w:rsidR="00054858">
        <w:tc>
          <w:tcPr>
            <w:tcW w:w="9322" w:type="dxa"/>
            <w:gridSpan w:val="3"/>
          </w:tcPr>
          <w:p w:rsidR="00054858" w:rsidRPr="00D85AD4" w:rsidRDefault="00C3101D" w:rsidP="00D85AD4">
            <w:pPr>
              <w:pStyle w:val="ListParagraph"/>
              <w:numPr>
                <w:ilvl w:val="0"/>
                <w:numId w:val="11"/>
              </w:numPr>
              <w:rPr>
                <w:rFonts w:ascii="Arial" w:eastAsia="Times New Roman" w:hAnsi="Arial" w:cs="Arial"/>
                <w:szCs w:val="20"/>
                <w:lang w:val="en-US"/>
              </w:rPr>
            </w:pPr>
            <w:r w:rsidRPr="00D85AD4">
              <w:rPr>
                <w:rFonts w:cs="Arial"/>
                <w:b/>
                <w:shd w:val="clear" w:color="auto" w:fill="FFFFFF"/>
              </w:rPr>
              <w:t>Valuation of the Fund Property</w:t>
            </w:r>
          </w:p>
        </w:tc>
      </w:tr>
      <w:tr w:rsidR="00054858">
        <w:tc>
          <w:tcPr>
            <w:tcW w:w="9322" w:type="dxa"/>
            <w:gridSpan w:val="3"/>
          </w:tcPr>
          <w:p w:rsidR="00054858" w:rsidRDefault="00C3101D">
            <w:pPr>
              <w:rPr>
                <w:rFonts w:ascii="Arial" w:eastAsia="Times New Roman" w:hAnsi="Arial" w:cs="Arial"/>
                <w:szCs w:val="20"/>
                <w:lang w:val="en-US"/>
              </w:rPr>
            </w:pPr>
            <w:r>
              <w:rPr>
                <w:rFonts w:cs="Arial"/>
                <w:shd w:val="clear" w:color="auto" w:fill="FFFFFF"/>
              </w:rPr>
              <w:t>Details as to:</w:t>
            </w:r>
          </w:p>
        </w:tc>
      </w:tr>
      <w:tr w:rsidR="00054858">
        <w:tc>
          <w:tcPr>
            <w:tcW w:w="5211" w:type="dxa"/>
          </w:tcPr>
          <w:p w:rsidR="00054858" w:rsidRDefault="00C3101D">
            <w:pPr>
              <w:keepNext/>
              <w:ind w:left="492" w:hanging="492"/>
              <w:jc w:val="both"/>
              <w:rPr>
                <w:rFonts w:cs="Arial"/>
              </w:rPr>
            </w:pPr>
            <w:r>
              <w:rPr>
                <w:rFonts w:cs="Arial"/>
              </w:rPr>
              <w:t>(a)</w:t>
            </w:r>
            <w:r>
              <w:rPr>
                <w:rFonts w:cs="Arial"/>
              </w:rPr>
              <w:tab/>
              <w:t xml:space="preserve">how frequently and at what times of the </w:t>
            </w:r>
            <w:hyperlink r:id="rId77" w:anchor="G259" w:tgtFrame="w_glossary" w:history="1">
              <w:r>
                <w:rPr>
                  <w:rFonts w:cs="Arial"/>
                  <w:iCs/>
                  <w:shd w:val="clear" w:color="auto" w:fill="FFFFFF"/>
                </w:rPr>
                <w:t>day</w:t>
              </w:r>
            </w:hyperlink>
            <w:r>
              <w:rPr>
                <w:rFonts w:cs="Arial"/>
              </w:rPr>
              <w:t xml:space="preserve"> the </w:t>
            </w:r>
            <w:hyperlink r:id="rId78" w:anchor="G1049" w:tgtFrame="w_glossary" w:history="1">
              <w:r>
                <w:rPr>
                  <w:rFonts w:cs="Arial"/>
                  <w:iCs/>
                  <w:shd w:val="clear" w:color="auto" w:fill="FFFFFF"/>
                </w:rPr>
                <w:t>Fund Property</w:t>
              </w:r>
            </w:hyperlink>
            <w:r>
              <w:rPr>
                <w:rFonts w:cs="Arial"/>
              </w:rPr>
              <w:t xml:space="preserve"> will be regularly valued to determine the </w:t>
            </w:r>
            <w:hyperlink r:id="rId79" w:anchor="G904" w:tgtFrame="w_glossary" w:history="1">
              <w:r>
                <w:rPr>
                  <w:rFonts w:cs="Arial"/>
                  <w:iCs/>
                  <w:shd w:val="clear" w:color="auto" w:fill="FFFFFF"/>
                </w:rPr>
                <w:t>price</w:t>
              </w:r>
            </w:hyperlink>
            <w:r>
              <w:rPr>
                <w:rFonts w:cs="Arial"/>
              </w:rPr>
              <w:t xml:space="preserve"> at which </w:t>
            </w:r>
            <w:hyperlink r:id="rId80" w:anchor="G1230" w:tgtFrame="w_glossary" w:history="1">
              <w:r>
                <w:rPr>
                  <w:rFonts w:cs="Arial"/>
                  <w:iCs/>
                  <w:shd w:val="clear" w:color="auto" w:fill="FFFFFF"/>
                </w:rPr>
                <w:t>Units</w:t>
              </w:r>
            </w:hyperlink>
            <w:r>
              <w:rPr>
                <w:rFonts w:cs="Arial"/>
              </w:rPr>
              <w:t xml:space="preserve"> in the </w:t>
            </w:r>
            <w:hyperlink r:id="rId81" w:anchor="G1043" w:tgtFrame="w_glossary" w:history="1">
              <w:r>
                <w:rPr>
                  <w:rFonts w:cs="Arial"/>
                  <w:iCs/>
                  <w:shd w:val="clear" w:color="auto" w:fill="FFFFFF"/>
                </w:rPr>
                <w:t>Fund</w:t>
              </w:r>
            </w:hyperlink>
            <w:r>
              <w:rPr>
                <w:rFonts w:cs="Arial"/>
              </w:rPr>
              <w:t xml:space="preserve"> may be purchased from or redeemed by the Fund Manager  and a description of any circumstance where the Fund</w:t>
            </w:r>
            <w:hyperlink r:id="rId82" w:anchor="G1043" w:tgtFrame="w_glossary" w:history="1"/>
            <w:r>
              <w:rPr>
                <w:rFonts w:cs="Arial"/>
              </w:rPr>
              <w:t xml:space="preserve"> P</w:t>
            </w:r>
            <w:r>
              <w:rPr>
                <w:rFonts w:cs="Arial"/>
                <w:iCs/>
              </w:rPr>
              <w:t>roperty</w:t>
            </w:r>
            <w:r>
              <w:rPr>
                <w:rFonts w:cs="Arial"/>
              </w:rPr>
              <w:t xml:space="preserve"> may be specially valued;</w:t>
            </w:r>
          </w:p>
        </w:tc>
        <w:tc>
          <w:tcPr>
            <w:tcW w:w="2127" w:type="dxa"/>
          </w:tcPr>
          <w:p w:rsidR="00054858" w:rsidRDefault="00054858"/>
        </w:tc>
        <w:tc>
          <w:tcPr>
            <w:tcW w:w="1984" w:type="dxa"/>
          </w:tcPr>
          <w:p w:rsidR="00054858" w:rsidRDefault="007D05E8">
            <w:r>
              <w:rPr>
                <w:rFonts w:ascii="Arial" w:eastAsia="Times New Roman" w:hAnsi="Arial" w:cs="Arial"/>
                <w:szCs w:val="20"/>
                <w:lang w:val="en-US"/>
              </w:rPr>
              <w:t xml:space="preserve"> </w:t>
            </w:r>
          </w:p>
        </w:tc>
      </w:tr>
      <w:tr w:rsidR="00054858">
        <w:tc>
          <w:tcPr>
            <w:tcW w:w="5211" w:type="dxa"/>
          </w:tcPr>
          <w:p w:rsidR="00054858" w:rsidRDefault="00C3101D">
            <w:pPr>
              <w:keepNext/>
              <w:ind w:left="492" w:hanging="492"/>
              <w:jc w:val="both"/>
              <w:rPr>
                <w:rFonts w:cs="Arial"/>
              </w:rPr>
            </w:pPr>
            <w:r>
              <w:rPr>
                <w:rFonts w:cs="Arial"/>
                <w:shd w:val="clear" w:color="auto" w:fill="FFFFFF"/>
              </w:rPr>
              <w:t>(b)</w:t>
            </w:r>
            <w:r>
              <w:rPr>
                <w:rFonts w:cs="Arial"/>
                <w:shd w:val="clear" w:color="auto" w:fill="FFFFFF"/>
              </w:rPr>
              <w:tab/>
            </w:r>
            <w:r>
              <w:rPr>
                <w:rFonts w:cs="Arial"/>
              </w:rPr>
              <w:t xml:space="preserve">in relation to each purpose for which the </w:t>
            </w:r>
            <w:hyperlink r:id="rId83" w:anchor="G1043" w:tgtFrame="w_glossary" w:history="1">
              <w:r>
                <w:rPr>
                  <w:rFonts w:cs="Arial"/>
                  <w:iCs/>
                  <w:shd w:val="clear" w:color="auto" w:fill="FFFFFF"/>
                </w:rPr>
                <w:t xml:space="preserve">Fund </w:t>
              </w:r>
            </w:hyperlink>
            <w:r>
              <w:rPr>
                <w:rFonts w:cs="Arial"/>
              </w:rPr>
              <w:t>P</w:t>
            </w:r>
            <w:r>
              <w:rPr>
                <w:rFonts w:cs="Arial"/>
                <w:iCs/>
              </w:rPr>
              <w:t>roperty</w:t>
            </w:r>
            <w:r>
              <w:rPr>
                <w:rFonts w:cs="Arial"/>
              </w:rPr>
              <w:t xml:space="preserve"> must be valued, the basis on which it will be valued; </w:t>
            </w:r>
          </w:p>
        </w:tc>
        <w:tc>
          <w:tcPr>
            <w:tcW w:w="2127" w:type="dxa"/>
          </w:tcPr>
          <w:p w:rsidR="00054858" w:rsidRDefault="00054858" w:rsidP="00622197"/>
        </w:tc>
        <w:tc>
          <w:tcPr>
            <w:tcW w:w="1984" w:type="dxa"/>
          </w:tcPr>
          <w:p w:rsidR="00054858" w:rsidRDefault="00054858"/>
        </w:tc>
      </w:tr>
      <w:tr w:rsidR="00054858">
        <w:tc>
          <w:tcPr>
            <w:tcW w:w="5211" w:type="dxa"/>
          </w:tcPr>
          <w:p w:rsidR="00054858" w:rsidRDefault="00C3101D">
            <w:pPr>
              <w:keepNext/>
              <w:ind w:left="492" w:hanging="492"/>
              <w:jc w:val="both"/>
              <w:rPr>
                <w:rFonts w:cs="Arial"/>
              </w:rPr>
            </w:pPr>
            <w:r>
              <w:rPr>
                <w:rFonts w:cs="Arial"/>
              </w:rPr>
              <w:t>(c)</w:t>
            </w:r>
            <w:r>
              <w:rPr>
                <w:rFonts w:cs="Arial"/>
              </w:rPr>
              <w:tab/>
              <w:t xml:space="preserve">how the single </w:t>
            </w:r>
            <w:hyperlink r:id="rId84" w:anchor="G904" w:tgtFrame="w_glossary" w:history="1">
              <w:r>
                <w:rPr>
                  <w:rFonts w:cs="Arial"/>
                  <w:iCs/>
                  <w:shd w:val="clear" w:color="auto" w:fill="FFFFFF"/>
                </w:rPr>
                <w:t>price</w:t>
              </w:r>
            </w:hyperlink>
            <w:r>
              <w:rPr>
                <w:rFonts w:cs="Arial"/>
              </w:rPr>
              <w:t xml:space="preserve"> of Units of each </w:t>
            </w:r>
            <w:hyperlink r:id="rId85" w:anchor="G152" w:tgtFrame="w_glossary" w:history="1">
              <w:r>
                <w:rPr>
                  <w:rFonts w:cs="Arial"/>
                  <w:iCs/>
                  <w:shd w:val="clear" w:color="auto" w:fill="FFFFFF"/>
                </w:rPr>
                <w:t>class</w:t>
              </w:r>
            </w:hyperlink>
            <w:r>
              <w:rPr>
                <w:rFonts w:cs="Arial"/>
              </w:rPr>
              <w:t xml:space="preserve"> will be determined, including whether a forward or </w:t>
            </w:r>
            <w:hyperlink r:id="rId86" w:anchor="G499" w:tgtFrame="w_glossary" w:history="1">
              <w:r>
                <w:rPr>
                  <w:rFonts w:cs="Arial"/>
                  <w:iCs/>
                  <w:shd w:val="clear" w:color="auto" w:fill="FFFFFF"/>
                </w:rPr>
                <w:t>historic</w:t>
              </w:r>
            </w:hyperlink>
            <w:hyperlink r:id="rId87" w:anchor="G904" w:tgtFrame="w_glossary" w:history="1">
              <w:r>
                <w:rPr>
                  <w:rFonts w:cs="Arial"/>
                  <w:iCs/>
                  <w:shd w:val="clear" w:color="auto" w:fill="FFFFFF"/>
                </w:rPr>
                <w:t xml:space="preserve"> price</w:t>
              </w:r>
            </w:hyperlink>
            <w:r>
              <w:rPr>
                <w:rFonts w:cs="Arial"/>
              </w:rPr>
              <w:t xml:space="preserve"> basis is to be applied; </w:t>
            </w:r>
          </w:p>
        </w:tc>
        <w:tc>
          <w:tcPr>
            <w:tcW w:w="2127" w:type="dxa"/>
          </w:tcPr>
          <w:p w:rsidR="00054858" w:rsidRDefault="00054858" w:rsidP="000A65BA"/>
        </w:tc>
        <w:tc>
          <w:tcPr>
            <w:tcW w:w="1984" w:type="dxa"/>
          </w:tcPr>
          <w:p w:rsidR="00054858" w:rsidRDefault="00054858"/>
        </w:tc>
      </w:tr>
      <w:tr w:rsidR="00054858">
        <w:tc>
          <w:tcPr>
            <w:tcW w:w="5211" w:type="dxa"/>
          </w:tcPr>
          <w:p w:rsidR="00054858" w:rsidRDefault="00C3101D">
            <w:pPr>
              <w:keepNext/>
              <w:ind w:left="492" w:hanging="492"/>
              <w:jc w:val="both"/>
              <w:rPr>
                <w:rFonts w:cs="Arial"/>
                <w:shd w:val="clear" w:color="auto" w:fill="FFFFFF"/>
              </w:rPr>
            </w:pPr>
            <w:r>
              <w:rPr>
                <w:rFonts w:cs="Arial"/>
                <w:shd w:val="clear" w:color="auto" w:fill="FFFFFF"/>
              </w:rPr>
              <w:t>(d)</w:t>
            </w:r>
            <w:r>
              <w:rPr>
                <w:rFonts w:cs="Arial"/>
                <w:shd w:val="clear" w:color="auto" w:fill="FFFFFF"/>
              </w:rPr>
              <w:tab/>
              <w:t>details as to how the prices of Units will be published following each valuation; and</w:t>
            </w:r>
          </w:p>
        </w:tc>
        <w:tc>
          <w:tcPr>
            <w:tcW w:w="2127" w:type="dxa"/>
          </w:tcPr>
          <w:p w:rsidR="00054858" w:rsidRDefault="00054858" w:rsidP="000A65BA"/>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shd w:val="clear" w:color="auto" w:fill="FFFFFF"/>
              </w:rPr>
              <w:t>(e)</w:t>
            </w:r>
            <w:r>
              <w:rPr>
                <w:rFonts w:cs="Arial"/>
                <w:shd w:val="clear" w:color="auto" w:fill="FFFFFF"/>
              </w:rPr>
              <w:tab/>
              <w:t>if valuation is to be suspended under certain circumstances, details of such circumstances.</w:t>
            </w:r>
          </w:p>
        </w:tc>
        <w:tc>
          <w:tcPr>
            <w:tcW w:w="2127" w:type="dxa"/>
          </w:tcPr>
          <w:p w:rsidR="00054858" w:rsidRDefault="00054858"/>
        </w:tc>
        <w:tc>
          <w:tcPr>
            <w:tcW w:w="1984" w:type="dxa"/>
          </w:tcPr>
          <w:p w:rsidR="00054858" w:rsidRDefault="00054858"/>
        </w:tc>
      </w:tr>
      <w:tr w:rsidR="00054858">
        <w:tc>
          <w:tcPr>
            <w:tcW w:w="9322" w:type="dxa"/>
            <w:gridSpan w:val="3"/>
          </w:tcPr>
          <w:p w:rsidR="00054858" w:rsidRPr="00D85AD4" w:rsidRDefault="00C3101D" w:rsidP="00D85AD4">
            <w:pPr>
              <w:pStyle w:val="ListParagraph"/>
              <w:numPr>
                <w:ilvl w:val="0"/>
                <w:numId w:val="11"/>
              </w:numPr>
              <w:rPr>
                <w:rFonts w:ascii="Arial" w:eastAsia="Times New Roman" w:hAnsi="Arial" w:cs="Arial"/>
                <w:szCs w:val="20"/>
                <w:lang w:val="en-US"/>
              </w:rPr>
            </w:pPr>
            <w:r w:rsidRPr="00D85AD4">
              <w:rPr>
                <w:rFonts w:cs="Arial"/>
                <w:b/>
                <w:shd w:val="clear" w:color="auto" w:fill="FFFFFF"/>
              </w:rPr>
              <w:t>Sale and Redemption Charges</w:t>
            </w:r>
          </w:p>
        </w:tc>
      </w:tr>
      <w:tr w:rsidR="00054858">
        <w:tc>
          <w:tcPr>
            <w:tcW w:w="5211" w:type="dxa"/>
          </w:tcPr>
          <w:p w:rsidR="00054858" w:rsidRDefault="00C3101D">
            <w:pPr>
              <w:jc w:val="both"/>
              <w:rPr>
                <w:rFonts w:cs="Arial"/>
                <w:shd w:val="clear" w:color="auto" w:fill="FFFFFF"/>
              </w:rPr>
            </w:pPr>
            <w:r>
              <w:rPr>
                <w:rFonts w:cs="Arial"/>
              </w:rPr>
              <w:t xml:space="preserve">If the Fund Manager makes any charges on </w:t>
            </w:r>
            <w:hyperlink r:id="rId88" w:anchor="G1040" w:tgtFrame="w_glossary" w:history="1">
              <w:r>
                <w:rPr>
                  <w:rFonts w:cs="Arial"/>
                  <w:iCs/>
                  <w:shd w:val="clear" w:color="auto" w:fill="FFFFFF"/>
                </w:rPr>
                <w:t>sale</w:t>
              </w:r>
            </w:hyperlink>
            <w:r>
              <w:rPr>
                <w:rFonts w:cs="Arial"/>
              </w:rPr>
              <w:t xml:space="preserve"> or </w:t>
            </w:r>
            <w:hyperlink r:id="rId89" w:anchor="G964" w:tgtFrame="w_glossary" w:history="1">
              <w:r>
                <w:rPr>
                  <w:rFonts w:cs="Arial"/>
                  <w:iCs/>
                  <w:shd w:val="clear" w:color="auto" w:fill="FFFFFF"/>
                </w:rPr>
                <w:t>redemption</w:t>
              </w:r>
            </w:hyperlink>
            <w:r>
              <w:rPr>
                <w:rFonts w:cs="Arial"/>
              </w:rPr>
              <w:t xml:space="preserve"> of Units, details of the charging structure and how notice will be provided to Unitholders of any change in the relevant charge.</w:t>
            </w:r>
          </w:p>
        </w:tc>
        <w:tc>
          <w:tcPr>
            <w:tcW w:w="2127" w:type="dxa"/>
          </w:tcPr>
          <w:p w:rsidR="00054858" w:rsidRDefault="00054858"/>
        </w:tc>
        <w:tc>
          <w:tcPr>
            <w:tcW w:w="1984" w:type="dxa"/>
          </w:tcPr>
          <w:p w:rsidR="00054858" w:rsidRDefault="00054858"/>
        </w:tc>
      </w:tr>
      <w:tr w:rsidR="00054858">
        <w:tc>
          <w:tcPr>
            <w:tcW w:w="5211" w:type="dxa"/>
          </w:tcPr>
          <w:p w:rsidR="00054858" w:rsidRPr="00D85AD4" w:rsidRDefault="00C3101D" w:rsidP="00D85AD4">
            <w:pPr>
              <w:pStyle w:val="ListParagraph"/>
              <w:numPr>
                <w:ilvl w:val="0"/>
                <w:numId w:val="11"/>
              </w:numPr>
              <w:jc w:val="both"/>
              <w:rPr>
                <w:rFonts w:cs="Arial"/>
              </w:rPr>
            </w:pPr>
            <w:r w:rsidRPr="00D85AD4">
              <w:rPr>
                <w:rFonts w:cs="Arial"/>
                <w:b/>
                <w:shd w:val="clear" w:color="auto" w:fill="FFFFFF"/>
              </w:rPr>
              <w:t>Financial Reports</w:t>
            </w:r>
          </w:p>
        </w:tc>
        <w:tc>
          <w:tcPr>
            <w:tcW w:w="2127" w:type="dxa"/>
          </w:tcPr>
          <w:p w:rsidR="00054858" w:rsidRDefault="00054858">
            <w:pPr>
              <w:rPr>
                <w:rFonts w:ascii="Arial" w:eastAsia="Times New Roman" w:hAnsi="Arial" w:cs="Arial"/>
                <w:szCs w:val="20"/>
                <w:lang w:val="en-US"/>
              </w:rPr>
            </w:pPr>
          </w:p>
        </w:tc>
        <w:tc>
          <w:tcPr>
            <w:tcW w:w="1984" w:type="dxa"/>
          </w:tcPr>
          <w:p w:rsidR="00054858" w:rsidRDefault="00054858">
            <w:pPr>
              <w:rPr>
                <w:rFonts w:ascii="Arial" w:eastAsia="Times New Roman" w:hAnsi="Arial" w:cs="Arial"/>
                <w:szCs w:val="20"/>
                <w:lang w:val="en-US"/>
              </w:rPr>
            </w:pPr>
          </w:p>
        </w:tc>
      </w:tr>
      <w:tr w:rsidR="00054858">
        <w:tc>
          <w:tcPr>
            <w:tcW w:w="9322" w:type="dxa"/>
            <w:gridSpan w:val="3"/>
          </w:tcPr>
          <w:p w:rsidR="00054858" w:rsidRDefault="00C3101D">
            <w:pPr>
              <w:rPr>
                <w:rFonts w:ascii="Arial" w:eastAsia="Times New Roman" w:hAnsi="Arial" w:cs="Arial"/>
                <w:szCs w:val="20"/>
                <w:lang w:val="en-US"/>
              </w:rPr>
            </w:pPr>
            <w:r>
              <w:rPr>
                <w:rFonts w:cs="Arial"/>
                <w:shd w:val="clear" w:color="auto" w:fill="FFFFFF"/>
              </w:rPr>
              <w:t>Details as to:</w:t>
            </w:r>
          </w:p>
        </w:tc>
      </w:tr>
      <w:tr w:rsidR="00054858">
        <w:tc>
          <w:tcPr>
            <w:tcW w:w="5211" w:type="dxa"/>
          </w:tcPr>
          <w:p w:rsidR="00054858" w:rsidRDefault="00C3101D">
            <w:pPr>
              <w:ind w:left="492" w:hanging="492"/>
              <w:jc w:val="both"/>
              <w:rPr>
                <w:rFonts w:cs="Arial"/>
              </w:rPr>
            </w:pPr>
            <w:r>
              <w:rPr>
                <w:rFonts w:cs="Arial"/>
              </w:rPr>
              <w:t>(a)</w:t>
            </w:r>
            <w:r>
              <w:rPr>
                <w:rFonts w:cs="Arial"/>
              </w:rPr>
              <w:tab/>
              <w:t>when annual and interim reports will be published</w:t>
            </w:r>
            <w:r w:rsidR="00676796">
              <w:rPr>
                <w:rFonts w:cs="Arial"/>
              </w:rPr>
              <w:t>; and</w:t>
            </w:r>
          </w:p>
        </w:tc>
        <w:tc>
          <w:tcPr>
            <w:tcW w:w="2127" w:type="dxa"/>
          </w:tcPr>
          <w:p w:rsidR="00054858" w:rsidRDefault="00054858"/>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shd w:val="clear" w:color="auto" w:fill="FFFFFF"/>
              </w:rPr>
              <w:t>(b)</w:t>
            </w:r>
            <w:r>
              <w:rPr>
                <w:rFonts w:cs="Arial"/>
                <w:shd w:val="clear" w:color="auto" w:fill="FFFFFF"/>
              </w:rPr>
              <w:tab/>
            </w:r>
            <w:r>
              <w:rPr>
                <w:rFonts w:cs="Arial"/>
              </w:rPr>
              <w:t>the address in the DIFC at which copies of the Constitution, any amending instrument and the most recent annual and interim reports may be inspected and from which copies may be obtained.</w:t>
            </w:r>
          </w:p>
        </w:tc>
        <w:tc>
          <w:tcPr>
            <w:tcW w:w="2127" w:type="dxa"/>
          </w:tcPr>
          <w:p w:rsidR="00054858" w:rsidRDefault="00054858" w:rsidP="000A65BA"/>
        </w:tc>
        <w:tc>
          <w:tcPr>
            <w:tcW w:w="1984" w:type="dxa"/>
          </w:tcPr>
          <w:p w:rsidR="00054858" w:rsidRDefault="00054858"/>
        </w:tc>
      </w:tr>
      <w:tr w:rsidR="00054858">
        <w:tc>
          <w:tcPr>
            <w:tcW w:w="9322" w:type="dxa"/>
            <w:gridSpan w:val="3"/>
          </w:tcPr>
          <w:p w:rsidR="00054858" w:rsidRPr="00D85AD4" w:rsidRDefault="00C3101D" w:rsidP="00D85AD4">
            <w:pPr>
              <w:pStyle w:val="ListParagraph"/>
              <w:numPr>
                <w:ilvl w:val="0"/>
                <w:numId w:val="11"/>
              </w:numPr>
              <w:rPr>
                <w:rFonts w:ascii="Arial" w:eastAsia="Times New Roman" w:hAnsi="Arial" w:cs="Arial"/>
                <w:szCs w:val="20"/>
                <w:lang w:val="en-US"/>
              </w:rPr>
            </w:pPr>
            <w:r w:rsidRPr="00D85AD4">
              <w:rPr>
                <w:rFonts w:cs="Arial"/>
                <w:b/>
                <w:shd w:val="clear" w:color="auto" w:fill="FFFFFF"/>
              </w:rPr>
              <w:t>Information in respect of Umbrella Funds</w:t>
            </w:r>
          </w:p>
        </w:tc>
      </w:tr>
      <w:tr w:rsidR="00054858">
        <w:tc>
          <w:tcPr>
            <w:tcW w:w="9322" w:type="dxa"/>
            <w:gridSpan w:val="3"/>
          </w:tcPr>
          <w:p w:rsidR="00054858" w:rsidRDefault="00C3101D">
            <w:pPr>
              <w:rPr>
                <w:rFonts w:ascii="Arial" w:eastAsia="Times New Roman" w:hAnsi="Arial" w:cs="Arial"/>
                <w:szCs w:val="20"/>
                <w:lang w:val="en-US"/>
              </w:rPr>
            </w:pPr>
            <w:r>
              <w:rPr>
                <w:rFonts w:cs="Arial"/>
              </w:rPr>
              <w:t xml:space="preserve">In the case of an Umbrella </w:t>
            </w:r>
            <w:hyperlink r:id="rId90" w:anchor="G1043" w:tgtFrame="w_glossary" w:history="1">
              <w:r>
                <w:rPr>
                  <w:rFonts w:cs="Arial"/>
                  <w:iCs/>
                  <w:shd w:val="clear" w:color="auto" w:fill="FFFFFF"/>
                </w:rPr>
                <w:t xml:space="preserve">Fund, </w:t>
              </w:r>
            </w:hyperlink>
            <w:r>
              <w:rPr>
                <w:rFonts w:cs="Arial"/>
              </w:rPr>
              <w:t>the following information:</w:t>
            </w:r>
          </w:p>
        </w:tc>
      </w:tr>
      <w:tr w:rsidR="00054858">
        <w:tc>
          <w:tcPr>
            <w:tcW w:w="5211" w:type="dxa"/>
          </w:tcPr>
          <w:p w:rsidR="00054858" w:rsidRDefault="00C3101D">
            <w:pPr>
              <w:ind w:left="492" w:hanging="492"/>
              <w:jc w:val="both"/>
              <w:rPr>
                <w:rFonts w:cs="Arial"/>
              </w:rPr>
            </w:pPr>
            <w:r>
              <w:rPr>
                <w:rFonts w:cs="Arial"/>
              </w:rPr>
              <w:t>(a)</w:t>
            </w:r>
            <w:r>
              <w:rPr>
                <w:rFonts w:cs="Arial"/>
              </w:rPr>
              <w:tab/>
              <w:t xml:space="preserve">that a </w:t>
            </w:r>
            <w:hyperlink r:id="rId91" w:anchor="G1233" w:tgtFrame="w_glossary" w:history="1">
              <w:r>
                <w:rPr>
                  <w:rFonts w:cs="Arial"/>
                  <w:iCs/>
                  <w:shd w:val="clear" w:color="auto" w:fill="FFFFFF"/>
                </w:rPr>
                <w:t>Unitholder</w:t>
              </w:r>
            </w:hyperlink>
            <w:r>
              <w:rPr>
                <w:rFonts w:cs="Arial"/>
              </w:rPr>
              <w:t xml:space="preserve"> may exchange Units in one </w:t>
            </w:r>
            <w:hyperlink r:id="rId92" w:anchor="G1140" w:tgtFrame="w_glossary" w:history="1">
              <w:r>
                <w:rPr>
                  <w:rFonts w:cs="Arial"/>
                </w:rPr>
                <w:t>Sub-Fund</w:t>
              </w:r>
              <w:r>
                <w:rPr>
                  <w:rFonts w:cs="Arial"/>
                  <w:iCs/>
                  <w:shd w:val="clear" w:color="auto" w:fill="FFFFFF"/>
                </w:rPr>
                <w:t xml:space="preserve"> </w:t>
              </w:r>
            </w:hyperlink>
            <w:r>
              <w:rPr>
                <w:rFonts w:cs="Arial"/>
              </w:rPr>
              <w:t xml:space="preserve">for </w:t>
            </w:r>
            <w:hyperlink r:id="rId93" w:anchor="G1230" w:tgtFrame="w_glossary" w:history="1">
              <w:r>
                <w:rPr>
                  <w:rFonts w:cs="Arial"/>
                  <w:iCs/>
                  <w:shd w:val="clear" w:color="auto" w:fill="FFFFFF"/>
                </w:rPr>
                <w:t>Units</w:t>
              </w:r>
            </w:hyperlink>
            <w:r>
              <w:rPr>
                <w:rFonts w:cs="Arial"/>
              </w:rPr>
              <w:t xml:space="preserve"> in another </w:t>
            </w:r>
            <w:hyperlink r:id="rId94" w:anchor="G1140" w:tgtFrame="w_glossary" w:history="1">
              <w:r>
                <w:rPr>
                  <w:rFonts w:cs="Arial"/>
                </w:rPr>
                <w:t xml:space="preserve">Sub-Fund </w:t>
              </w:r>
            </w:hyperlink>
            <w:r>
              <w:rPr>
                <w:rFonts w:cs="Arial"/>
              </w:rPr>
              <w:t xml:space="preserve">and that such an exchange is treated as a </w:t>
            </w:r>
            <w:hyperlink r:id="rId95" w:anchor="G964" w:tgtFrame="w_glossary" w:history="1">
              <w:r>
                <w:rPr>
                  <w:rFonts w:cs="Arial"/>
                  <w:iCs/>
                  <w:shd w:val="clear" w:color="auto" w:fill="FFFFFF"/>
                </w:rPr>
                <w:t>redemption</w:t>
              </w:r>
            </w:hyperlink>
            <w:r>
              <w:rPr>
                <w:rFonts w:cs="Arial"/>
              </w:rPr>
              <w:t xml:space="preserve"> and </w:t>
            </w:r>
            <w:hyperlink r:id="rId96" w:anchor="G1040" w:tgtFrame="w_glossary" w:history="1">
              <w:r>
                <w:rPr>
                  <w:rFonts w:cs="Arial"/>
                  <w:iCs/>
                  <w:shd w:val="clear" w:color="auto" w:fill="FFFFFF"/>
                </w:rPr>
                <w:t>sale</w:t>
              </w:r>
            </w:hyperlink>
            <w:r w:rsidR="00B140BF">
              <w:rPr>
                <w:rFonts w:cs="Arial"/>
                <w:iCs/>
                <w:shd w:val="clear" w:color="auto" w:fill="FFFFFF"/>
              </w:rPr>
              <w:t>;</w:t>
            </w:r>
          </w:p>
        </w:tc>
        <w:tc>
          <w:tcPr>
            <w:tcW w:w="2127" w:type="dxa"/>
          </w:tcPr>
          <w:p w:rsidR="00054858" w:rsidRDefault="00054858"/>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shd w:val="clear" w:color="auto" w:fill="FFFFFF"/>
              </w:rPr>
              <w:t>(b)</w:t>
            </w:r>
            <w:r>
              <w:rPr>
                <w:rFonts w:cs="Arial"/>
                <w:shd w:val="clear" w:color="auto" w:fill="FFFFFF"/>
              </w:rPr>
              <w:tab/>
            </w:r>
            <w:r>
              <w:rPr>
                <w:rFonts w:cs="Arial"/>
              </w:rPr>
              <w:t xml:space="preserve">what charges may be made on exchanging </w:t>
            </w:r>
            <w:hyperlink r:id="rId97" w:anchor="G1230" w:tgtFrame="w_glossary" w:history="1">
              <w:r>
                <w:rPr>
                  <w:rFonts w:cs="Arial"/>
                  <w:iCs/>
                  <w:shd w:val="clear" w:color="auto" w:fill="FFFFFF"/>
                </w:rPr>
                <w:t>Units</w:t>
              </w:r>
            </w:hyperlink>
            <w:r>
              <w:rPr>
                <w:rFonts w:cs="Arial"/>
              </w:rPr>
              <w:t xml:space="preserve"> in one </w:t>
            </w:r>
            <w:hyperlink r:id="rId98" w:anchor="G1140" w:tgtFrame="w_glossary" w:history="1">
              <w:r>
                <w:rPr>
                  <w:rFonts w:cs="Arial"/>
                </w:rPr>
                <w:t xml:space="preserve">Sub-Fund </w:t>
              </w:r>
            </w:hyperlink>
            <w:r>
              <w:rPr>
                <w:rFonts w:cs="Arial"/>
              </w:rPr>
              <w:t xml:space="preserve">for Units in other </w:t>
            </w:r>
            <w:hyperlink r:id="rId99" w:anchor="G1140" w:tgtFrame="w_glossary" w:history="1">
              <w:r>
                <w:rPr>
                  <w:rFonts w:cs="Arial"/>
                </w:rPr>
                <w:t>Sub-Funds</w:t>
              </w:r>
            </w:hyperlink>
            <w:r w:rsidR="00B140BF">
              <w:rPr>
                <w:rFonts w:cs="Arial"/>
              </w:rPr>
              <w:t>;</w:t>
            </w:r>
          </w:p>
        </w:tc>
        <w:tc>
          <w:tcPr>
            <w:tcW w:w="2127" w:type="dxa"/>
          </w:tcPr>
          <w:p w:rsidR="00054858" w:rsidRDefault="00054858"/>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rPr>
              <w:t>(c)</w:t>
            </w:r>
            <w:r>
              <w:rPr>
                <w:rFonts w:cs="Arial"/>
              </w:rPr>
              <w:tab/>
              <w:t xml:space="preserve">the policy for allocating between </w:t>
            </w:r>
            <w:hyperlink r:id="rId100" w:anchor="G1140" w:tgtFrame="w_glossary" w:history="1">
              <w:r>
                <w:rPr>
                  <w:rFonts w:cs="Arial"/>
                </w:rPr>
                <w:t xml:space="preserve">Sub-Funds </w:t>
              </w:r>
            </w:hyperlink>
            <w:r>
              <w:rPr>
                <w:rFonts w:cs="Arial"/>
              </w:rPr>
              <w:t xml:space="preserve">any assets of, or costs, charges and expenses payable out of, the </w:t>
            </w:r>
            <w:hyperlink r:id="rId101" w:anchor="G1049" w:tgtFrame="w_glossary" w:history="1">
              <w:r>
                <w:rPr>
                  <w:rFonts w:cs="Arial"/>
                </w:rPr>
                <w:t>Fund</w:t>
              </w:r>
              <w:r>
                <w:rPr>
                  <w:rFonts w:cs="Arial"/>
                  <w:iCs/>
                  <w:shd w:val="clear" w:color="auto" w:fill="FFFFFF"/>
                </w:rPr>
                <w:t xml:space="preserve"> Property</w:t>
              </w:r>
            </w:hyperlink>
            <w:r>
              <w:rPr>
                <w:rFonts w:cs="Arial"/>
              </w:rPr>
              <w:t xml:space="preserve"> which are not attributable to any particular Sub-Fund</w:t>
            </w:r>
            <w:r w:rsidR="00B140BF">
              <w:rPr>
                <w:rFonts w:cs="Arial"/>
              </w:rPr>
              <w:t>;</w:t>
            </w:r>
          </w:p>
        </w:tc>
        <w:tc>
          <w:tcPr>
            <w:tcW w:w="2127" w:type="dxa"/>
          </w:tcPr>
          <w:p w:rsidR="00054858" w:rsidRDefault="00054858"/>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rPr>
              <w:t>(d)</w:t>
            </w:r>
            <w:r>
              <w:rPr>
                <w:rFonts w:cs="Arial"/>
              </w:rPr>
              <w:tab/>
              <w:t>in respect of each S</w:t>
            </w:r>
            <w:hyperlink r:id="rId102" w:anchor="G1140" w:tgtFrame="w_glossary" w:history="1">
              <w:r>
                <w:rPr>
                  <w:rFonts w:cs="Arial"/>
                </w:rPr>
                <w:t>ub-Fund</w:t>
              </w:r>
            </w:hyperlink>
            <w:r>
              <w:rPr>
                <w:rFonts w:cs="Arial"/>
              </w:rPr>
              <w:t xml:space="preserve">, the currency in which the </w:t>
            </w:r>
            <w:hyperlink r:id="rId103" w:anchor="G1049" w:tgtFrame="w_glossary" w:history="1">
              <w:r>
                <w:rPr>
                  <w:rFonts w:cs="Arial"/>
                  <w:iCs/>
                  <w:shd w:val="clear" w:color="auto" w:fill="FFFFFF"/>
                </w:rPr>
                <w:t>Fund Property</w:t>
              </w:r>
            </w:hyperlink>
            <w:r>
              <w:rPr>
                <w:rFonts w:cs="Arial"/>
              </w:rPr>
              <w:t xml:space="preserve"> allocated to it will be valued and the </w:t>
            </w:r>
            <w:hyperlink r:id="rId104" w:anchor="G904" w:tgtFrame="w_glossary" w:history="1">
              <w:r>
                <w:rPr>
                  <w:rFonts w:cs="Arial"/>
                  <w:iCs/>
                  <w:shd w:val="clear" w:color="auto" w:fill="FFFFFF"/>
                </w:rPr>
                <w:t>price</w:t>
              </w:r>
            </w:hyperlink>
            <w:r>
              <w:rPr>
                <w:rFonts w:cs="Arial"/>
              </w:rPr>
              <w:t xml:space="preserve"> of </w:t>
            </w:r>
            <w:hyperlink r:id="rId105" w:anchor="G1230" w:tgtFrame="w_glossary" w:history="1">
              <w:r>
                <w:rPr>
                  <w:rFonts w:cs="Arial"/>
                  <w:iCs/>
                  <w:shd w:val="clear" w:color="auto" w:fill="FFFFFF"/>
                </w:rPr>
                <w:t>Units</w:t>
              </w:r>
            </w:hyperlink>
            <w:r>
              <w:rPr>
                <w:rFonts w:cs="Arial"/>
              </w:rPr>
              <w:t xml:space="preserve"> calculated and payments made, if this currency is not the </w:t>
            </w:r>
            <w:hyperlink r:id="rId106" w:anchor="G103" w:tgtFrame="w_glossary" w:history="1">
              <w:r>
                <w:rPr>
                  <w:rFonts w:cs="Arial"/>
                  <w:iCs/>
                  <w:shd w:val="clear" w:color="auto" w:fill="FFFFFF"/>
                </w:rPr>
                <w:t>base currency</w:t>
              </w:r>
            </w:hyperlink>
            <w:r>
              <w:rPr>
                <w:rFonts w:cs="Arial"/>
              </w:rPr>
              <w:t xml:space="preserve"> of the </w:t>
            </w:r>
            <w:hyperlink r:id="rId107" w:anchor="G1222" w:tgtFrame="w_glossary" w:history="1">
              <w:r>
                <w:rPr>
                  <w:rFonts w:cs="Arial"/>
                  <w:iCs/>
                  <w:shd w:val="clear" w:color="auto" w:fill="FFFFFF"/>
                </w:rPr>
                <w:t>Umbrella</w:t>
              </w:r>
            </w:hyperlink>
            <w:r>
              <w:rPr>
                <w:rFonts w:cs="Arial"/>
              </w:rPr>
              <w:t xml:space="preserve"> Fund</w:t>
            </w:r>
            <w:r w:rsidR="00B140BF">
              <w:rPr>
                <w:rFonts w:cs="Arial"/>
              </w:rPr>
              <w:t>; and</w:t>
            </w:r>
          </w:p>
        </w:tc>
        <w:tc>
          <w:tcPr>
            <w:tcW w:w="2127" w:type="dxa"/>
          </w:tcPr>
          <w:p w:rsidR="00054858" w:rsidRDefault="00054858"/>
        </w:tc>
        <w:tc>
          <w:tcPr>
            <w:tcW w:w="1984" w:type="dxa"/>
          </w:tcPr>
          <w:p w:rsidR="00054858" w:rsidRDefault="00054858"/>
        </w:tc>
      </w:tr>
      <w:tr w:rsidR="00054858">
        <w:tc>
          <w:tcPr>
            <w:tcW w:w="5211" w:type="dxa"/>
          </w:tcPr>
          <w:p w:rsidR="00054858" w:rsidRDefault="00C3101D">
            <w:pPr>
              <w:ind w:left="492" w:hanging="492"/>
              <w:jc w:val="both"/>
              <w:rPr>
                <w:rFonts w:cs="Arial"/>
              </w:rPr>
            </w:pPr>
            <w:r>
              <w:rPr>
                <w:rFonts w:cs="Arial"/>
              </w:rPr>
              <w:t>(e)</w:t>
            </w:r>
            <w:r>
              <w:rPr>
                <w:rFonts w:cs="Arial"/>
              </w:rPr>
              <w:tab/>
              <w:t xml:space="preserve">in the case of an Umbrella Fund that is not formed as a Protected Cell Company, in the event of such an Umbrella Fund being unable to meet liabilities attributable to any particular </w:t>
            </w:r>
            <w:hyperlink r:id="rId108" w:anchor="G1140" w:tgtFrame="w_glossary" w:history="1">
              <w:r>
                <w:rPr>
                  <w:rFonts w:cs="Arial"/>
                </w:rPr>
                <w:t>Sub-Fund</w:t>
              </w:r>
              <w:r>
                <w:rPr>
                  <w:rFonts w:cs="Arial"/>
                  <w:iCs/>
                  <w:shd w:val="clear" w:color="auto" w:fill="FFFFFF"/>
                </w:rPr>
                <w:t xml:space="preserve"> </w:t>
              </w:r>
            </w:hyperlink>
            <w:r>
              <w:rPr>
                <w:rFonts w:cs="Arial"/>
              </w:rPr>
              <w:t xml:space="preserve">out of the assets attributable to that </w:t>
            </w:r>
            <w:hyperlink r:id="rId109" w:anchor="G1140" w:tgtFrame="w_glossary" w:history="1">
              <w:r>
                <w:rPr>
                  <w:rFonts w:cs="Arial"/>
                </w:rPr>
                <w:t>Sub-Fund</w:t>
              </w:r>
            </w:hyperlink>
            <w:r>
              <w:rPr>
                <w:rFonts w:cs="Arial"/>
              </w:rPr>
              <w:t xml:space="preserve">, the remaining liabilities may have to be met out of the assets attributable to other </w:t>
            </w:r>
            <w:hyperlink r:id="rId110" w:anchor="G1140" w:tgtFrame="w_glossary" w:history="1">
              <w:r>
                <w:rPr>
                  <w:rFonts w:cs="Arial"/>
                </w:rPr>
                <w:t xml:space="preserve">Sub-Funds </w:t>
              </w:r>
            </w:hyperlink>
            <w:r>
              <w:rPr>
                <w:rFonts w:cs="Arial"/>
              </w:rPr>
              <w:t xml:space="preserve">i.e. that the </w:t>
            </w:r>
            <w:hyperlink r:id="rId111" w:anchor="G1140" w:tgtFrame="w_glossary" w:history="1">
              <w:r>
                <w:rPr>
                  <w:rFonts w:cs="Arial"/>
                </w:rPr>
                <w:t xml:space="preserve">Sub-Funds </w:t>
              </w:r>
            </w:hyperlink>
            <w:r>
              <w:rPr>
                <w:rFonts w:cs="Arial"/>
              </w:rPr>
              <w:t>are not "ring fenced".</w:t>
            </w:r>
          </w:p>
        </w:tc>
        <w:tc>
          <w:tcPr>
            <w:tcW w:w="2127" w:type="dxa"/>
          </w:tcPr>
          <w:p w:rsidR="00054858" w:rsidRDefault="00054858"/>
        </w:tc>
        <w:tc>
          <w:tcPr>
            <w:tcW w:w="1984" w:type="dxa"/>
          </w:tcPr>
          <w:p w:rsidR="00054858" w:rsidRDefault="00054858"/>
        </w:tc>
      </w:tr>
      <w:tr w:rsidR="00054858">
        <w:tc>
          <w:tcPr>
            <w:tcW w:w="9322" w:type="dxa"/>
            <w:gridSpan w:val="3"/>
          </w:tcPr>
          <w:p w:rsidR="00054858" w:rsidRPr="00D85AD4" w:rsidRDefault="00C3101D" w:rsidP="00D85AD4">
            <w:pPr>
              <w:pStyle w:val="ListParagraph"/>
              <w:numPr>
                <w:ilvl w:val="0"/>
                <w:numId w:val="11"/>
              </w:numPr>
              <w:rPr>
                <w:rFonts w:ascii="Arial" w:eastAsia="Times New Roman" w:hAnsi="Arial" w:cs="Arial"/>
                <w:szCs w:val="20"/>
                <w:lang w:val="en-US"/>
              </w:rPr>
            </w:pPr>
            <w:r w:rsidRPr="00D85AD4">
              <w:rPr>
                <w:rFonts w:cs="Arial"/>
                <w:b/>
              </w:rPr>
              <w:t>Other relevant information</w:t>
            </w:r>
          </w:p>
        </w:tc>
      </w:tr>
      <w:tr w:rsidR="00054858">
        <w:tc>
          <w:tcPr>
            <w:tcW w:w="5211" w:type="dxa"/>
          </w:tcPr>
          <w:p w:rsidR="00054858" w:rsidRDefault="00C3101D">
            <w:pPr>
              <w:jc w:val="both"/>
              <w:rPr>
                <w:rFonts w:cs="Arial"/>
              </w:rPr>
            </w:pPr>
            <w:r>
              <w:rPr>
                <w:rFonts w:cs="Arial"/>
              </w:rPr>
              <w:t>If applicable, names and addresses of the banker, lawyer, registrar and any other Person undertaking any significant activities in relation to the Fund.</w:t>
            </w:r>
          </w:p>
        </w:tc>
        <w:tc>
          <w:tcPr>
            <w:tcW w:w="2127" w:type="dxa"/>
          </w:tcPr>
          <w:p w:rsidR="00054858" w:rsidRDefault="00054858"/>
        </w:tc>
        <w:tc>
          <w:tcPr>
            <w:tcW w:w="1984" w:type="dxa"/>
          </w:tcPr>
          <w:p w:rsidR="00054858" w:rsidRDefault="00054858"/>
        </w:tc>
      </w:tr>
      <w:tr w:rsidR="00ED4BDD" w:rsidTr="00CD3639">
        <w:tc>
          <w:tcPr>
            <w:tcW w:w="9322" w:type="dxa"/>
            <w:gridSpan w:val="3"/>
          </w:tcPr>
          <w:p w:rsidR="00ED4BDD" w:rsidRPr="009F48FE" w:rsidRDefault="00ED4BDD" w:rsidP="00E32921">
            <w:pPr>
              <w:rPr>
                <w:rFonts w:ascii="Arial" w:eastAsia="Times New Roman" w:hAnsi="Arial" w:cs="Arial"/>
                <w:b/>
                <w:szCs w:val="20"/>
                <w:lang w:val="en-US"/>
              </w:rPr>
            </w:pPr>
            <w:r>
              <w:rPr>
                <w:rFonts w:ascii="Arial" w:eastAsia="Times New Roman" w:hAnsi="Arial" w:cs="Arial"/>
                <w:b/>
                <w:szCs w:val="20"/>
                <w:lang w:val="en-US"/>
              </w:rPr>
              <w:t xml:space="preserve">CIR 14.3.3 Mandatory </w:t>
            </w:r>
            <w:r w:rsidR="0012416C">
              <w:rPr>
                <w:rFonts w:ascii="Arial" w:eastAsia="Times New Roman" w:hAnsi="Arial" w:cs="Arial"/>
                <w:b/>
                <w:szCs w:val="20"/>
                <w:lang w:val="en-US"/>
              </w:rPr>
              <w:t>s</w:t>
            </w:r>
            <w:r>
              <w:rPr>
                <w:rFonts w:ascii="Arial" w:eastAsia="Times New Roman" w:hAnsi="Arial" w:cs="Arial"/>
                <w:b/>
                <w:szCs w:val="20"/>
                <w:lang w:val="en-US"/>
              </w:rPr>
              <w:t>tatement</w:t>
            </w:r>
            <w:r w:rsidR="00E32921">
              <w:rPr>
                <w:rFonts w:ascii="Arial" w:eastAsia="Times New Roman" w:hAnsi="Arial" w:cs="Arial"/>
                <w:b/>
                <w:szCs w:val="20"/>
                <w:lang w:val="en-US"/>
              </w:rPr>
              <w:t xml:space="preserve"> </w:t>
            </w:r>
          </w:p>
        </w:tc>
      </w:tr>
      <w:tr w:rsidR="00ED4BDD" w:rsidTr="00CD3639">
        <w:tc>
          <w:tcPr>
            <w:tcW w:w="9322" w:type="dxa"/>
            <w:gridSpan w:val="3"/>
          </w:tcPr>
          <w:p w:rsidR="00ED4BDD" w:rsidRDefault="00ED4BDD" w:rsidP="00ED4BDD">
            <w:pPr>
              <w:pStyle w:val="BodyText"/>
              <w:numPr>
                <w:ilvl w:val="0"/>
                <w:numId w:val="5"/>
              </w:numPr>
              <w:tabs>
                <w:tab w:val="left" w:pos="0"/>
                <w:tab w:val="left" w:pos="1934"/>
              </w:tabs>
              <w:ind w:right="1163"/>
              <w:rPr>
                <w:rFonts w:asciiTheme="minorBidi" w:eastAsiaTheme="minorHAnsi" w:hAnsiTheme="minorBidi" w:cs="Arial"/>
                <w:sz w:val="20"/>
                <w:lang w:val="en-GB"/>
              </w:rPr>
            </w:pPr>
            <w:r w:rsidRPr="000D1DB1">
              <w:rPr>
                <w:rFonts w:asciiTheme="minorBidi" w:eastAsiaTheme="minorHAnsi" w:hAnsiTheme="minorBidi" w:cs="Arial"/>
                <w:sz w:val="20"/>
                <w:lang w:val="en-GB"/>
              </w:rPr>
              <w:t>A Fund Manager of a Public Fund must include in the Fund’s Prospectus, the following statement displayed prominently on its front page:</w:t>
            </w:r>
          </w:p>
          <w:p w:rsidR="00ED4BDD" w:rsidRPr="004D0891" w:rsidRDefault="00ED4BDD" w:rsidP="00ED4BDD">
            <w:pPr>
              <w:pStyle w:val="BodyText"/>
              <w:tabs>
                <w:tab w:val="left" w:pos="0"/>
                <w:tab w:val="left" w:pos="1934"/>
              </w:tabs>
              <w:ind w:left="720" w:right="1163" w:firstLine="0"/>
              <w:rPr>
                <w:rFonts w:asciiTheme="minorBidi" w:eastAsiaTheme="minorHAnsi" w:hAnsiTheme="minorBidi" w:cs="Arial"/>
                <w:sz w:val="20"/>
                <w:lang w:val="en-GB"/>
              </w:rPr>
            </w:pPr>
          </w:p>
          <w:p w:rsidR="00ED4BDD" w:rsidRPr="000D1DB1" w:rsidRDefault="00ED4BDD" w:rsidP="00ED4BDD">
            <w:pPr>
              <w:pStyle w:val="BodyText"/>
              <w:ind w:left="738" w:right="1157" w:firstLine="0"/>
              <w:jc w:val="both"/>
              <w:rPr>
                <w:rFonts w:asciiTheme="minorBidi" w:eastAsiaTheme="minorHAnsi" w:hAnsiTheme="minorBidi" w:cs="Arial"/>
                <w:sz w:val="20"/>
                <w:lang w:val="en-GB"/>
              </w:rPr>
            </w:pPr>
            <w:r w:rsidRPr="000D1DB1">
              <w:rPr>
                <w:rFonts w:asciiTheme="minorBidi" w:eastAsiaTheme="minorHAnsi" w:hAnsiTheme="minorBidi" w:cs="Arial"/>
                <w:sz w:val="20"/>
                <w:lang w:val="en-GB"/>
              </w:rPr>
              <w:t>“This Prospectus relates to a DIFC Fund in accordance with the Collective Investment Law 2010 and Rules of the Dubai Financial Services Authority (“DFSA”).</w:t>
            </w:r>
          </w:p>
          <w:p w:rsidR="00ED4BDD" w:rsidRPr="000D1DB1" w:rsidRDefault="00ED4BDD" w:rsidP="00ED4BDD">
            <w:pPr>
              <w:ind w:left="738"/>
              <w:rPr>
                <w:rFonts w:cs="Arial"/>
              </w:rPr>
            </w:pPr>
          </w:p>
          <w:p w:rsidR="00ED4BDD" w:rsidRPr="000D1DB1" w:rsidRDefault="00ED4BDD" w:rsidP="00ED4BDD">
            <w:pPr>
              <w:pStyle w:val="BodyText"/>
              <w:ind w:left="738" w:right="1157" w:firstLine="0"/>
              <w:jc w:val="both"/>
              <w:rPr>
                <w:rFonts w:asciiTheme="minorBidi" w:eastAsiaTheme="minorHAnsi" w:hAnsiTheme="minorBidi" w:cs="Arial"/>
                <w:sz w:val="20"/>
                <w:lang w:val="en-GB"/>
              </w:rPr>
            </w:pPr>
            <w:r w:rsidRPr="000D1DB1">
              <w:rPr>
                <w:rFonts w:asciiTheme="minorBidi" w:eastAsiaTheme="minorHAnsi" w:hAnsiTheme="minorBidi" w:cs="Arial"/>
                <w:sz w:val="20"/>
                <w:lang w:val="en-GB"/>
              </w:rPr>
              <w:t>The DFSA has no responsibility for reviewing or verifying any Prospectus or other documents in connection with this Domestic Fund. Accordingly, the DFSA has not approved this Prospectus or any other associated documents nor taken any steps to verify the information set out in this Prospectus, and has no responsibility for it.</w:t>
            </w:r>
          </w:p>
          <w:p w:rsidR="00ED4BDD" w:rsidRPr="000D1DB1" w:rsidRDefault="00ED4BDD" w:rsidP="00ED4BDD">
            <w:pPr>
              <w:ind w:left="738"/>
              <w:rPr>
                <w:rFonts w:cs="Arial"/>
              </w:rPr>
            </w:pPr>
          </w:p>
          <w:p w:rsidR="00ED4BDD" w:rsidRPr="000D1DB1" w:rsidRDefault="00ED4BDD" w:rsidP="00ED4BDD">
            <w:pPr>
              <w:pStyle w:val="BodyText"/>
              <w:ind w:left="738" w:right="1158" w:firstLine="0"/>
              <w:jc w:val="both"/>
              <w:rPr>
                <w:rFonts w:asciiTheme="minorBidi" w:eastAsiaTheme="minorHAnsi" w:hAnsiTheme="minorBidi" w:cs="Arial"/>
                <w:sz w:val="20"/>
                <w:lang w:val="en-GB"/>
              </w:rPr>
            </w:pPr>
            <w:r w:rsidRPr="000D1DB1">
              <w:rPr>
                <w:rFonts w:asciiTheme="minorBidi" w:eastAsiaTheme="minorHAnsi" w:hAnsiTheme="minorBidi" w:cs="Arial"/>
                <w:sz w:val="20"/>
                <w:lang w:val="en-GB"/>
              </w:rPr>
              <w:t>The Units to which this Prospectus relates may be illiquid and/or subject to restrictions on their resale. Prospective purchasers of the Units offered should conduct their own due diligence on the Units.</w:t>
            </w:r>
          </w:p>
          <w:p w:rsidR="00ED4BDD" w:rsidRPr="000D1DB1" w:rsidRDefault="00ED4BDD" w:rsidP="00ED4BDD">
            <w:pPr>
              <w:rPr>
                <w:rFonts w:cs="Arial"/>
              </w:rPr>
            </w:pPr>
          </w:p>
          <w:p w:rsidR="00ED4BDD" w:rsidRDefault="00ED4BDD" w:rsidP="00ED4BDD">
            <w:pPr>
              <w:pStyle w:val="BodyText"/>
              <w:ind w:left="880" w:right="1161" w:firstLine="0"/>
              <w:jc w:val="both"/>
              <w:rPr>
                <w:rFonts w:asciiTheme="minorBidi" w:eastAsiaTheme="minorHAnsi" w:hAnsiTheme="minorBidi" w:cs="Arial"/>
                <w:sz w:val="20"/>
                <w:lang w:val="en-GB"/>
              </w:rPr>
            </w:pPr>
            <w:r w:rsidRPr="000D1DB1">
              <w:rPr>
                <w:rFonts w:asciiTheme="minorBidi" w:eastAsiaTheme="minorHAnsi" w:hAnsiTheme="minorBidi" w:cs="Arial"/>
                <w:sz w:val="20"/>
                <w:lang w:val="en-GB"/>
              </w:rPr>
              <w:t>If you do not understand the contents of this document you should consult an authorised financial adviser.”</w:t>
            </w:r>
          </w:p>
          <w:p w:rsidR="00ED4BDD" w:rsidRDefault="00ED4BDD" w:rsidP="00ED4BDD">
            <w:pPr>
              <w:pStyle w:val="BodyText"/>
              <w:ind w:left="880" w:right="1161" w:firstLine="0"/>
              <w:jc w:val="both"/>
              <w:rPr>
                <w:rFonts w:asciiTheme="minorBidi" w:eastAsiaTheme="minorHAnsi" w:hAnsiTheme="minorBidi" w:cs="Arial"/>
                <w:sz w:val="20"/>
                <w:lang w:val="en-GB"/>
              </w:rPr>
            </w:pPr>
          </w:p>
          <w:p w:rsidR="00ED4BDD" w:rsidRPr="00ED4BDD" w:rsidRDefault="00ED4BDD" w:rsidP="00ED4BDD">
            <w:pPr>
              <w:pStyle w:val="BodyText"/>
              <w:numPr>
                <w:ilvl w:val="0"/>
                <w:numId w:val="5"/>
              </w:numPr>
              <w:tabs>
                <w:tab w:val="left" w:pos="2642"/>
              </w:tabs>
              <w:ind w:right="1158"/>
              <w:jc w:val="both"/>
              <w:rPr>
                <w:rFonts w:asciiTheme="minorBidi" w:eastAsiaTheme="minorHAnsi" w:hAnsiTheme="minorBidi" w:cs="Arial"/>
                <w:sz w:val="20"/>
                <w:lang w:val="en-GB"/>
              </w:rPr>
            </w:pPr>
            <w:r>
              <w:rPr>
                <w:rFonts w:asciiTheme="minorBidi" w:eastAsiaTheme="minorHAnsi" w:hAnsiTheme="minorBidi" w:cs="Arial"/>
                <w:sz w:val="20"/>
                <w:lang w:val="en-GB"/>
              </w:rPr>
              <w:t xml:space="preserve"> </w:t>
            </w:r>
            <w:r w:rsidRPr="000D1DB1">
              <w:rPr>
                <w:rFonts w:asciiTheme="minorBidi" w:eastAsiaTheme="minorHAnsi" w:hAnsiTheme="minorBidi" w:cs="Arial"/>
                <w:sz w:val="20"/>
                <w:lang w:val="en-GB"/>
              </w:rPr>
              <w:t xml:space="preserve">In the case of a Public Fund which is a </w:t>
            </w:r>
            <w:r w:rsidRPr="009F48FE">
              <w:rPr>
                <w:rFonts w:asciiTheme="minorBidi" w:eastAsiaTheme="minorHAnsi" w:hAnsiTheme="minorBidi" w:cs="Arial"/>
                <w:sz w:val="20"/>
                <w:u w:val="single"/>
                <w:lang w:val="en-GB"/>
              </w:rPr>
              <w:t>Listed Fund</w:t>
            </w:r>
            <w:r w:rsidRPr="000D1DB1">
              <w:rPr>
                <w:rFonts w:asciiTheme="minorBidi" w:eastAsiaTheme="minorHAnsi" w:hAnsiTheme="minorBidi" w:cs="Arial"/>
                <w:sz w:val="20"/>
                <w:lang w:val="en-GB"/>
              </w:rPr>
              <w:t>, the Fund Manager must include, instead of the statement referred to in (1), the statement required under MKT Rule 6.3.1(1)(b)(iii).</w:t>
            </w:r>
          </w:p>
          <w:p w:rsidR="00ED4BDD" w:rsidRPr="009F48FE" w:rsidRDefault="00ED4BDD" w:rsidP="00ED4BDD">
            <w:pPr>
              <w:pStyle w:val="BodyText"/>
              <w:tabs>
                <w:tab w:val="left" w:pos="2642"/>
              </w:tabs>
              <w:ind w:left="0" w:right="1161" w:firstLine="0"/>
              <w:jc w:val="both"/>
              <w:rPr>
                <w:rFonts w:asciiTheme="minorBidi" w:eastAsiaTheme="minorHAnsi" w:hAnsiTheme="minorBidi" w:cs="Arial"/>
                <w:sz w:val="20"/>
                <w:lang w:val="en-GB"/>
              </w:rPr>
            </w:pPr>
          </w:p>
        </w:tc>
      </w:tr>
      <w:tr w:rsidR="00ED4BDD" w:rsidTr="009F578D">
        <w:tc>
          <w:tcPr>
            <w:tcW w:w="9322" w:type="dxa"/>
            <w:gridSpan w:val="3"/>
            <w:shd w:val="clear" w:color="auto" w:fill="BFBFBF" w:themeFill="background1" w:themeFillShade="BF"/>
          </w:tcPr>
          <w:p w:rsidR="00ED4BDD" w:rsidRDefault="00ED4BDD" w:rsidP="00ED4BDD">
            <w:r w:rsidRPr="009F48FE">
              <w:rPr>
                <w:rFonts w:ascii="Arial" w:eastAsia="Times New Roman" w:hAnsi="Arial" w:cs="Arial"/>
                <w:b/>
                <w:szCs w:val="20"/>
                <w:lang w:val="en-US"/>
              </w:rPr>
              <w:t>Prospectus of a Feeder Fund</w:t>
            </w:r>
          </w:p>
        </w:tc>
      </w:tr>
      <w:tr w:rsidR="00ED4BDD" w:rsidTr="00CD3639">
        <w:tc>
          <w:tcPr>
            <w:tcW w:w="9322" w:type="dxa"/>
            <w:gridSpan w:val="3"/>
          </w:tcPr>
          <w:p w:rsidR="00ED4BDD" w:rsidRPr="009F48FE" w:rsidRDefault="00ED4BDD" w:rsidP="00ED4BDD">
            <w:pPr>
              <w:rPr>
                <w:rFonts w:ascii="Arial" w:eastAsia="Times New Roman" w:hAnsi="Arial" w:cs="Arial"/>
                <w:b/>
                <w:szCs w:val="20"/>
                <w:lang w:val="en-US"/>
              </w:rPr>
            </w:pPr>
            <w:r>
              <w:rPr>
                <w:rFonts w:ascii="Arial" w:eastAsia="Times New Roman" w:hAnsi="Arial" w:cs="Arial"/>
                <w:b/>
                <w:szCs w:val="20"/>
                <w:lang w:val="en-US"/>
              </w:rPr>
              <w:t>CIR 14.4.1</w:t>
            </w:r>
          </w:p>
        </w:tc>
      </w:tr>
      <w:tr w:rsidR="00ED4BDD" w:rsidTr="00CD3639">
        <w:tc>
          <w:tcPr>
            <w:tcW w:w="9322" w:type="dxa"/>
            <w:gridSpan w:val="3"/>
          </w:tcPr>
          <w:p w:rsidR="00ED4BDD" w:rsidRPr="009F48FE" w:rsidRDefault="00ED4BDD" w:rsidP="00ED4BDD">
            <w:pPr>
              <w:rPr>
                <w:rFonts w:ascii="Arial" w:eastAsia="Times New Roman" w:hAnsi="Arial" w:cs="Arial"/>
                <w:bCs/>
                <w:szCs w:val="20"/>
                <w:lang w:val="en-US"/>
              </w:rPr>
            </w:pPr>
            <w:r w:rsidRPr="009F48FE">
              <w:rPr>
                <w:rFonts w:ascii="Arial" w:eastAsia="Times New Roman" w:hAnsi="Arial" w:cs="Arial"/>
                <w:bCs/>
                <w:szCs w:val="20"/>
                <w:lang w:val="en-US"/>
              </w:rPr>
              <w:t xml:space="preserve">A Fund </w:t>
            </w:r>
            <w:r>
              <w:rPr>
                <w:rFonts w:ascii="Arial" w:eastAsia="Times New Roman" w:hAnsi="Arial" w:cs="Arial"/>
                <w:bCs/>
                <w:szCs w:val="20"/>
                <w:lang w:val="en-US"/>
              </w:rPr>
              <w:t>Manager of a Feeder Fund must ensure that the Fund’s Prospectus discloses:</w:t>
            </w:r>
          </w:p>
        </w:tc>
      </w:tr>
      <w:tr w:rsidR="00ED4BDD" w:rsidTr="0063559C">
        <w:tc>
          <w:tcPr>
            <w:tcW w:w="5211" w:type="dxa"/>
          </w:tcPr>
          <w:p w:rsidR="00ED4BDD" w:rsidRPr="0063559C" w:rsidRDefault="00ED4BDD" w:rsidP="00ED4BDD">
            <w:pPr>
              <w:pStyle w:val="ListParagraph"/>
              <w:numPr>
                <w:ilvl w:val="0"/>
                <w:numId w:val="6"/>
              </w:numPr>
              <w:jc w:val="both"/>
              <w:rPr>
                <w:rFonts w:ascii="Arial" w:eastAsia="Times New Roman" w:hAnsi="Arial" w:cs="Arial"/>
                <w:bCs/>
                <w:szCs w:val="20"/>
                <w:lang w:val="en-US"/>
              </w:rPr>
            </w:pPr>
            <w:r>
              <w:rPr>
                <w:rFonts w:ascii="Arial" w:eastAsia="Times New Roman" w:hAnsi="Arial" w:cs="Arial"/>
                <w:bCs/>
                <w:szCs w:val="20"/>
                <w:lang w:val="en-US"/>
              </w:rPr>
              <w:t>a prominent risk warning to alert prospective Unitholders to the fact that they will be subject to higher fees arising from the layered investment structure;</w:t>
            </w:r>
            <w:r w:rsidRPr="0063559C">
              <w:rPr>
                <w:rFonts w:ascii="Arial" w:eastAsia="Times New Roman" w:hAnsi="Arial" w:cs="Arial"/>
                <w:bCs/>
                <w:szCs w:val="20"/>
                <w:lang w:val="en-US"/>
              </w:rPr>
              <w:t xml:space="preserve">  </w:t>
            </w:r>
            <w:r w:rsidR="0021355D">
              <w:rPr>
                <w:rFonts w:ascii="Arial" w:eastAsia="Times New Roman" w:hAnsi="Arial" w:cs="Arial"/>
                <w:bCs/>
                <w:szCs w:val="20"/>
                <w:lang w:val="en-US"/>
              </w:rPr>
              <w:t>and</w:t>
            </w:r>
            <w:r w:rsidRPr="0063559C">
              <w:rPr>
                <w:rFonts w:ascii="Arial" w:eastAsia="Times New Roman" w:hAnsi="Arial" w:cs="Arial"/>
                <w:bCs/>
                <w:szCs w:val="20"/>
                <w:lang w:val="en-US"/>
              </w:rPr>
              <w:t xml:space="preserve">                                                                               </w:t>
            </w:r>
          </w:p>
        </w:tc>
        <w:tc>
          <w:tcPr>
            <w:tcW w:w="2127" w:type="dxa"/>
          </w:tcPr>
          <w:p w:rsidR="00ED4BDD" w:rsidRPr="009F48FE" w:rsidRDefault="00ED4BDD" w:rsidP="00ED4BDD">
            <w:pPr>
              <w:rPr>
                <w:rFonts w:ascii="Arial" w:eastAsia="Times New Roman" w:hAnsi="Arial" w:cs="Arial"/>
                <w:bCs/>
                <w:szCs w:val="20"/>
                <w:lang w:val="en-US"/>
              </w:rPr>
            </w:pPr>
          </w:p>
        </w:tc>
        <w:tc>
          <w:tcPr>
            <w:tcW w:w="1984" w:type="dxa"/>
          </w:tcPr>
          <w:p w:rsidR="00ED4BDD" w:rsidRPr="009F48FE" w:rsidRDefault="00ED4BDD" w:rsidP="00ED4BDD">
            <w:pPr>
              <w:rPr>
                <w:rFonts w:ascii="Arial" w:eastAsia="Times New Roman" w:hAnsi="Arial" w:cs="Arial"/>
                <w:bCs/>
                <w:szCs w:val="20"/>
                <w:lang w:val="en-US"/>
              </w:rPr>
            </w:pPr>
          </w:p>
        </w:tc>
      </w:tr>
      <w:tr w:rsidR="00ED4BDD" w:rsidTr="0063559C">
        <w:tc>
          <w:tcPr>
            <w:tcW w:w="5211" w:type="dxa"/>
          </w:tcPr>
          <w:p w:rsidR="00ED4BDD" w:rsidRPr="0063559C" w:rsidRDefault="00ED4BDD" w:rsidP="00ED4BDD">
            <w:pPr>
              <w:pStyle w:val="ListParagraph"/>
              <w:numPr>
                <w:ilvl w:val="0"/>
                <w:numId w:val="6"/>
              </w:numPr>
              <w:rPr>
                <w:rFonts w:ascii="Arial" w:eastAsia="Times New Roman" w:hAnsi="Arial" w:cs="Arial"/>
                <w:bCs/>
                <w:szCs w:val="20"/>
              </w:rPr>
            </w:pPr>
            <w:r>
              <w:rPr>
                <w:rFonts w:ascii="Arial" w:eastAsia="Times New Roman" w:hAnsi="Arial" w:cs="Arial"/>
                <w:bCs/>
                <w:szCs w:val="20"/>
              </w:rPr>
              <w:t>the fees arising at the level of:</w:t>
            </w:r>
          </w:p>
        </w:tc>
        <w:tc>
          <w:tcPr>
            <w:tcW w:w="2127" w:type="dxa"/>
          </w:tcPr>
          <w:p w:rsidR="00ED4BDD" w:rsidRPr="009F48FE" w:rsidRDefault="00ED4BDD" w:rsidP="00ED4BDD">
            <w:pPr>
              <w:rPr>
                <w:rFonts w:ascii="Arial" w:eastAsia="Times New Roman" w:hAnsi="Arial" w:cs="Arial"/>
                <w:bCs/>
                <w:szCs w:val="20"/>
                <w:lang w:val="en-US"/>
              </w:rPr>
            </w:pPr>
          </w:p>
        </w:tc>
        <w:tc>
          <w:tcPr>
            <w:tcW w:w="1984" w:type="dxa"/>
          </w:tcPr>
          <w:p w:rsidR="00ED4BDD" w:rsidRPr="009F48FE" w:rsidRDefault="00ED4BDD" w:rsidP="00ED4BDD">
            <w:pPr>
              <w:rPr>
                <w:rFonts w:ascii="Arial" w:eastAsia="Times New Roman" w:hAnsi="Arial" w:cs="Arial"/>
                <w:bCs/>
                <w:szCs w:val="20"/>
                <w:lang w:val="en-US"/>
              </w:rPr>
            </w:pPr>
          </w:p>
        </w:tc>
      </w:tr>
      <w:tr w:rsidR="00ED4BDD" w:rsidTr="0063559C">
        <w:tc>
          <w:tcPr>
            <w:tcW w:w="5211" w:type="dxa"/>
          </w:tcPr>
          <w:p w:rsidR="00ED4BDD" w:rsidRPr="0063559C" w:rsidRDefault="00ED4BDD" w:rsidP="0021355D">
            <w:pPr>
              <w:pStyle w:val="ListParagraph"/>
              <w:numPr>
                <w:ilvl w:val="0"/>
                <w:numId w:val="7"/>
              </w:numPr>
              <w:ind w:left="873" w:hanging="131"/>
              <w:rPr>
                <w:rFonts w:ascii="Arial" w:eastAsia="Times New Roman" w:hAnsi="Arial" w:cs="Arial"/>
                <w:bCs/>
                <w:szCs w:val="20"/>
              </w:rPr>
            </w:pPr>
            <w:r>
              <w:rPr>
                <w:rFonts w:ascii="Arial" w:eastAsia="Times New Roman" w:hAnsi="Arial" w:cs="Arial"/>
                <w:bCs/>
                <w:szCs w:val="20"/>
              </w:rPr>
              <w:t>the Feeder Fund itself;</w:t>
            </w:r>
          </w:p>
        </w:tc>
        <w:tc>
          <w:tcPr>
            <w:tcW w:w="2127" w:type="dxa"/>
          </w:tcPr>
          <w:p w:rsidR="00ED4BDD" w:rsidRPr="009F48FE" w:rsidRDefault="00ED4BDD" w:rsidP="00ED4BDD">
            <w:pPr>
              <w:rPr>
                <w:rFonts w:ascii="Arial" w:eastAsia="Times New Roman" w:hAnsi="Arial" w:cs="Arial"/>
                <w:bCs/>
                <w:szCs w:val="20"/>
                <w:lang w:val="en-US"/>
              </w:rPr>
            </w:pPr>
          </w:p>
        </w:tc>
        <w:tc>
          <w:tcPr>
            <w:tcW w:w="1984" w:type="dxa"/>
          </w:tcPr>
          <w:p w:rsidR="00ED4BDD" w:rsidRPr="009F48FE" w:rsidRDefault="00ED4BDD" w:rsidP="00ED4BDD">
            <w:pPr>
              <w:rPr>
                <w:rFonts w:ascii="Arial" w:eastAsia="Times New Roman" w:hAnsi="Arial" w:cs="Arial"/>
                <w:bCs/>
                <w:szCs w:val="20"/>
                <w:lang w:val="en-US"/>
              </w:rPr>
            </w:pPr>
          </w:p>
        </w:tc>
      </w:tr>
      <w:tr w:rsidR="00ED4BDD" w:rsidTr="0063559C">
        <w:tc>
          <w:tcPr>
            <w:tcW w:w="5211" w:type="dxa"/>
          </w:tcPr>
          <w:p w:rsidR="00ED4BDD" w:rsidRPr="0063559C" w:rsidRDefault="00ED4BDD" w:rsidP="00E32921">
            <w:pPr>
              <w:pStyle w:val="ListParagraph"/>
              <w:numPr>
                <w:ilvl w:val="0"/>
                <w:numId w:val="7"/>
              </w:numPr>
              <w:ind w:left="873" w:hanging="131"/>
              <w:rPr>
                <w:rFonts w:ascii="Arial" w:eastAsia="Times New Roman" w:hAnsi="Arial" w:cs="Arial"/>
                <w:bCs/>
                <w:szCs w:val="20"/>
                <w:lang w:val="en-US"/>
              </w:rPr>
            </w:pPr>
            <w:r>
              <w:rPr>
                <w:rFonts w:ascii="Arial" w:eastAsia="Times New Roman" w:hAnsi="Arial" w:cs="Arial"/>
                <w:bCs/>
                <w:szCs w:val="20"/>
                <w:lang w:val="en-US"/>
              </w:rPr>
              <w:t xml:space="preserve">if applicable, the Master Fund of the Feeder Fund; and </w:t>
            </w:r>
          </w:p>
        </w:tc>
        <w:tc>
          <w:tcPr>
            <w:tcW w:w="2127" w:type="dxa"/>
          </w:tcPr>
          <w:p w:rsidR="00ED4BDD" w:rsidRPr="009F48FE" w:rsidRDefault="00ED4BDD" w:rsidP="00ED4BDD">
            <w:pPr>
              <w:rPr>
                <w:rFonts w:ascii="Arial" w:eastAsia="Times New Roman" w:hAnsi="Arial" w:cs="Arial"/>
                <w:bCs/>
                <w:szCs w:val="20"/>
                <w:lang w:val="en-US"/>
              </w:rPr>
            </w:pPr>
          </w:p>
        </w:tc>
        <w:tc>
          <w:tcPr>
            <w:tcW w:w="1984" w:type="dxa"/>
          </w:tcPr>
          <w:p w:rsidR="00ED4BDD" w:rsidRPr="009F48FE" w:rsidRDefault="00ED4BDD" w:rsidP="00ED4BDD">
            <w:pPr>
              <w:rPr>
                <w:rFonts w:ascii="Arial" w:eastAsia="Times New Roman" w:hAnsi="Arial" w:cs="Arial"/>
                <w:bCs/>
                <w:szCs w:val="20"/>
                <w:lang w:val="en-US"/>
              </w:rPr>
            </w:pPr>
          </w:p>
        </w:tc>
      </w:tr>
      <w:tr w:rsidR="00ED4BDD" w:rsidTr="0063559C">
        <w:tc>
          <w:tcPr>
            <w:tcW w:w="5211" w:type="dxa"/>
          </w:tcPr>
          <w:p w:rsidR="00ED4BDD" w:rsidRPr="0063559C" w:rsidRDefault="00ED4BDD" w:rsidP="00E32921">
            <w:pPr>
              <w:pStyle w:val="ListParagraph"/>
              <w:numPr>
                <w:ilvl w:val="0"/>
                <w:numId w:val="7"/>
              </w:numPr>
              <w:ind w:left="873" w:hanging="131"/>
              <w:rPr>
                <w:rFonts w:ascii="Arial" w:eastAsia="Times New Roman" w:hAnsi="Arial" w:cs="Arial"/>
                <w:bCs/>
                <w:szCs w:val="20"/>
              </w:rPr>
            </w:pPr>
            <w:r>
              <w:rPr>
                <w:rFonts w:ascii="Arial" w:eastAsia="Times New Roman" w:hAnsi="Arial" w:cs="Arial"/>
                <w:bCs/>
                <w:szCs w:val="20"/>
              </w:rPr>
              <w:t>if applicable, any underlying Funds into which the Master Fund invests, to the extent known</w:t>
            </w:r>
            <w:r w:rsidR="0021355D">
              <w:rPr>
                <w:rFonts w:ascii="Arial" w:eastAsia="Times New Roman" w:hAnsi="Arial" w:cs="Arial"/>
                <w:bCs/>
                <w:szCs w:val="20"/>
              </w:rPr>
              <w:t>.</w:t>
            </w:r>
          </w:p>
        </w:tc>
        <w:tc>
          <w:tcPr>
            <w:tcW w:w="2127" w:type="dxa"/>
          </w:tcPr>
          <w:p w:rsidR="00ED4BDD" w:rsidRPr="009F48FE" w:rsidRDefault="00ED4BDD" w:rsidP="00ED4BDD">
            <w:pPr>
              <w:rPr>
                <w:rFonts w:ascii="Arial" w:eastAsia="Times New Roman" w:hAnsi="Arial" w:cs="Arial"/>
                <w:bCs/>
                <w:szCs w:val="20"/>
                <w:lang w:val="en-US"/>
              </w:rPr>
            </w:pPr>
          </w:p>
        </w:tc>
        <w:tc>
          <w:tcPr>
            <w:tcW w:w="1984" w:type="dxa"/>
          </w:tcPr>
          <w:p w:rsidR="00ED4BDD" w:rsidRPr="009F48FE" w:rsidRDefault="00ED4BDD" w:rsidP="00ED4BDD">
            <w:pPr>
              <w:rPr>
                <w:rFonts w:ascii="Arial" w:eastAsia="Times New Roman" w:hAnsi="Arial" w:cs="Arial"/>
                <w:bCs/>
                <w:szCs w:val="20"/>
                <w:lang w:val="en-US"/>
              </w:rPr>
            </w:pPr>
          </w:p>
        </w:tc>
      </w:tr>
      <w:tr w:rsidR="00ED4BDD" w:rsidTr="009F578D">
        <w:tc>
          <w:tcPr>
            <w:tcW w:w="9322" w:type="dxa"/>
            <w:gridSpan w:val="3"/>
            <w:shd w:val="clear" w:color="auto" w:fill="BFBFBF" w:themeFill="background1" w:themeFillShade="BF"/>
          </w:tcPr>
          <w:p w:rsidR="00ED4BDD" w:rsidRDefault="00ED4BDD" w:rsidP="00ED4BDD">
            <w:pPr>
              <w:rPr>
                <w:rFonts w:ascii="Arial" w:eastAsia="Times New Roman" w:hAnsi="Arial" w:cs="Arial"/>
                <w:b/>
                <w:szCs w:val="20"/>
                <w:lang w:val="en-US"/>
              </w:rPr>
            </w:pPr>
            <w:r>
              <w:rPr>
                <w:rFonts w:ascii="Arial" w:eastAsia="Times New Roman" w:hAnsi="Arial" w:cs="Arial"/>
                <w:b/>
                <w:szCs w:val="20"/>
                <w:lang w:val="en-US"/>
              </w:rPr>
              <w:t>Prospectus of a Property Fund</w:t>
            </w:r>
          </w:p>
        </w:tc>
      </w:tr>
      <w:tr w:rsidR="00ED4BDD">
        <w:tc>
          <w:tcPr>
            <w:tcW w:w="9322" w:type="dxa"/>
            <w:gridSpan w:val="3"/>
          </w:tcPr>
          <w:p w:rsidR="00ED4BDD" w:rsidRDefault="00ED4BDD" w:rsidP="00ED4BDD">
            <w:pPr>
              <w:rPr>
                <w:rFonts w:ascii="Arial" w:eastAsia="Times New Roman" w:hAnsi="Arial" w:cs="Arial"/>
                <w:szCs w:val="20"/>
                <w:lang w:val="en-US"/>
              </w:rPr>
            </w:pPr>
            <w:r>
              <w:rPr>
                <w:rFonts w:ascii="Arial" w:eastAsia="Times New Roman" w:hAnsi="Arial" w:cs="Arial"/>
                <w:b/>
                <w:szCs w:val="20"/>
                <w:lang w:val="en-US"/>
              </w:rPr>
              <w:t>CIR 14.4.2</w:t>
            </w:r>
          </w:p>
        </w:tc>
      </w:tr>
      <w:tr w:rsidR="00ED4BDD">
        <w:tc>
          <w:tcPr>
            <w:tcW w:w="9322" w:type="dxa"/>
            <w:gridSpan w:val="3"/>
          </w:tcPr>
          <w:p w:rsidR="00ED4BDD" w:rsidRDefault="00ED4BDD" w:rsidP="00ED4BDD">
            <w:pPr>
              <w:rPr>
                <w:rFonts w:ascii="Arial" w:eastAsia="Times New Roman" w:hAnsi="Arial" w:cs="Arial"/>
                <w:szCs w:val="20"/>
                <w:lang w:val="en-US"/>
              </w:rPr>
            </w:pPr>
            <w:r>
              <w:t>A Fund Manager of a Property Fund must ensure that the following information is disclosed in the Fund’s Prospectus:</w:t>
            </w:r>
          </w:p>
        </w:tc>
      </w:tr>
      <w:tr w:rsidR="00ED4BDD">
        <w:tc>
          <w:tcPr>
            <w:tcW w:w="5211" w:type="dxa"/>
          </w:tcPr>
          <w:p w:rsidR="00ED4BDD" w:rsidRDefault="00ED4BDD" w:rsidP="00ED4BDD">
            <w:pPr>
              <w:tabs>
                <w:tab w:val="left" w:pos="567"/>
                <w:tab w:val="left" w:pos="2520"/>
              </w:tabs>
              <w:ind w:left="567" w:hanging="425"/>
              <w:jc w:val="both"/>
            </w:pPr>
            <w:r>
              <w:t>(a)</w:t>
            </w:r>
            <w:r>
              <w:tab/>
              <w:t xml:space="preserve">the nature of the commitment which </w:t>
            </w:r>
            <w:r>
              <w:rPr>
                <w:rFonts w:cs="Arial"/>
              </w:rPr>
              <w:t>prospective Unitholders</w:t>
            </w:r>
            <w:r>
              <w:t xml:space="preserve"> will enter into;</w:t>
            </w:r>
          </w:p>
        </w:tc>
        <w:tc>
          <w:tcPr>
            <w:tcW w:w="2127" w:type="dxa"/>
          </w:tcPr>
          <w:p w:rsidR="00ED4BDD" w:rsidRDefault="00ED4BDD" w:rsidP="00ED4BDD"/>
        </w:tc>
        <w:tc>
          <w:tcPr>
            <w:tcW w:w="1984" w:type="dxa"/>
          </w:tcPr>
          <w:p w:rsidR="00ED4BDD" w:rsidRDefault="00ED4BDD" w:rsidP="00ED4BDD"/>
        </w:tc>
      </w:tr>
      <w:tr w:rsidR="00ED4BDD">
        <w:tc>
          <w:tcPr>
            <w:tcW w:w="5211" w:type="dxa"/>
          </w:tcPr>
          <w:p w:rsidR="00ED4BDD" w:rsidRDefault="00ED4BDD" w:rsidP="00ED4BDD">
            <w:pPr>
              <w:tabs>
                <w:tab w:val="left" w:pos="567"/>
                <w:tab w:val="left" w:pos="2520"/>
              </w:tabs>
              <w:ind w:left="567" w:hanging="425"/>
              <w:jc w:val="both"/>
            </w:pPr>
            <w:r>
              <w:t>(b)</w:t>
            </w:r>
            <w:r>
              <w:tab/>
              <w:t>the risks involved in this type of Fund;</w:t>
            </w:r>
          </w:p>
        </w:tc>
        <w:tc>
          <w:tcPr>
            <w:tcW w:w="2127" w:type="dxa"/>
          </w:tcPr>
          <w:p w:rsidR="00ED4BDD" w:rsidRDefault="00ED4BDD" w:rsidP="00ED4BDD"/>
        </w:tc>
        <w:tc>
          <w:tcPr>
            <w:tcW w:w="1984" w:type="dxa"/>
          </w:tcPr>
          <w:p w:rsidR="00ED4BDD" w:rsidRDefault="00ED4BDD" w:rsidP="00ED4BDD"/>
        </w:tc>
      </w:tr>
      <w:tr w:rsidR="00ED4BDD">
        <w:tc>
          <w:tcPr>
            <w:tcW w:w="5211" w:type="dxa"/>
          </w:tcPr>
          <w:p w:rsidR="00ED4BDD" w:rsidRDefault="00ED4BDD" w:rsidP="00ED4BDD">
            <w:pPr>
              <w:tabs>
                <w:tab w:val="left" w:pos="567"/>
                <w:tab w:val="left" w:pos="2520"/>
              </w:tabs>
              <w:ind w:left="567" w:hanging="425"/>
              <w:jc w:val="both"/>
            </w:pPr>
            <w:r>
              <w:t>(c)</w:t>
            </w:r>
            <w:r>
              <w:tab/>
              <w:t>the prominent risk warning which makes reference to circumstances in property markets which can cause difficulties in meeting redemptions;</w:t>
            </w:r>
          </w:p>
        </w:tc>
        <w:tc>
          <w:tcPr>
            <w:tcW w:w="2127" w:type="dxa"/>
          </w:tcPr>
          <w:p w:rsidR="00ED4BDD" w:rsidRDefault="00ED4BDD" w:rsidP="00ED4BDD"/>
        </w:tc>
        <w:tc>
          <w:tcPr>
            <w:tcW w:w="1984" w:type="dxa"/>
          </w:tcPr>
          <w:p w:rsidR="00ED4BDD" w:rsidRDefault="00ED4BDD" w:rsidP="00ED4BDD"/>
        </w:tc>
      </w:tr>
      <w:tr w:rsidR="00ED4BDD">
        <w:tc>
          <w:tcPr>
            <w:tcW w:w="5211" w:type="dxa"/>
          </w:tcPr>
          <w:p w:rsidR="00ED4BDD" w:rsidRDefault="00ED4BDD" w:rsidP="00ED4BDD">
            <w:pPr>
              <w:tabs>
                <w:tab w:val="left" w:pos="567"/>
                <w:tab w:val="left" w:pos="2520"/>
              </w:tabs>
              <w:ind w:left="567" w:hanging="425"/>
              <w:jc w:val="both"/>
            </w:pPr>
            <w:r>
              <w:t>(d)</w:t>
            </w:r>
            <w:r>
              <w:tab/>
              <w:t xml:space="preserve">details of the Property Fund’s appointed Valuer under </w:t>
            </w:r>
            <w:r w:rsidR="003C10E3">
              <w:t xml:space="preserve">CIR </w:t>
            </w:r>
            <w:r>
              <w:t>Rule 13.4.18(1);</w:t>
            </w:r>
          </w:p>
        </w:tc>
        <w:tc>
          <w:tcPr>
            <w:tcW w:w="2127" w:type="dxa"/>
          </w:tcPr>
          <w:p w:rsidR="00ED4BDD" w:rsidRDefault="00ED4BDD" w:rsidP="00ED4BDD"/>
        </w:tc>
        <w:tc>
          <w:tcPr>
            <w:tcW w:w="1984" w:type="dxa"/>
          </w:tcPr>
          <w:p w:rsidR="00ED4BDD" w:rsidRDefault="00ED4BDD" w:rsidP="00ED4BDD"/>
        </w:tc>
      </w:tr>
      <w:tr w:rsidR="00ED4BDD">
        <w:tc>
          <w:tcPr>
            <w:tcW w:w="5211" w:type="dxa"/>
          </w:tcPr>
          <w:p w:rsidR="00ED4BDD" w:rsidRDefault="00ED4BDD" w:rsidP="00ED4BDD">
            <w:pPr>
              <w:tabs>
                <w:tab w:val="left" w:pos="567"/>
                <w:tab w:val="left" w:pos="2520"/>
              </w:tabs>
              <w:ind w:left="567" w:hanging="425"/>
              <w:jc w:val="both"/>
            </w:pPr>
            <w:r>
              <w:t>(e)  in a prominent position in the prospectus, the redemption procedures;</w:t>
            </w:r>
          </w:p>
        </w:tc>
        <w:tc>
          <w:tcPr>
            <w:tcW w:w="2127" w:type="dxa"/>
          </w:tcPr>
          <w:p w:rsidR="00ED4BDD" w:rsidDel="00B15867" w:rsidRDefault="00ED4BDD" w:rsidP="00ED4BDD">
            <w:pPr>
              <w:rPr>
                <w:rFonts w:ascii="Arial" w:eastAsia="Times New Roman" w:hAnsi="Arial" w:cs="Arial"/>
                <w:szCs w:val="20"/>
                <w:lang w:val="en-US"/>
              </w:rPr>
            </w:pPr>
          </w:p>
        </w:tc>
        <w:tc>
          <w:tcPr>
            <w:tcW w:w="1984" w:type="dxa"/>
          </w:tcPr>
          <w:p w:rsidR="00ED4BDD" w:rsidDel="00B15867" w:rsidRDefault="00ED4BDD" w:rsidP="00ED4BDD">
            <w:pPr>
              <w:rPr>
                <w:rFonts w:ascii="Arial" w:eastAsia="Times New Roman" w:hAnsi="Arial" w:cs="Arial"/>
                <w:szCs w:val="20"/>
                <w:lang w:val="en-US"/>
              </w:rPr>
            </w:pPr>
          </w:p>
        </w:tc>
      </w:tr>
      <w:tr w:rsidR="00ED4BDD">
        <w:tc>
          <w:tcPr>
            <w:tcW w:w="5211" w:type="dxa"/>
          </w:tcPr>
          <w:p w:rsidR="00ED4BDD" w:rsidRDefault="00ED4BDD" w:rsidP="00ED4BDD">
            <w:pPr>
              <w:tabs>
                <w:tab w:val="left" w:pos="567"/>
                <w:tab w:val="left" w:pos="2520"/>
              </w:tabs>
              <w:ind w:left="567" w:hanging="425"/>
              <w:jc w:val="both"/>
            </w:pPr>
            <w:r>
              <w:t>(f)    the dividend or income distribution policy;</w:t>
            </w:r>
          </w:p>
        </w:tc>
        <w:tc>
          <w:tcPr>
            <w:tcW w:w="2127" w:type="dxa"/>
          </w:tcPr>
          <w:p w:rsidR="00ED4BDD" w:rsidDel="00B15867" w:rsidRDefault="00ED4BDD" w:rsidP="00ED4BDD">
            <w:pPr>
              <w:rPr>
                <w:rFonts w:ascii="Arial" w:eastAsia="Times New Roman" w:hAnsi="Arial" w:cs="Arial"/>
                <w:szCs w:val="20"/>
                <w:lang w:val="en-US"/>
              </w:rPr>
            </w:pPr>
          </w:p>
        </w:tc>
        <w:tc>
          <w:tcPr>
            <w:tcW w:w="1984" w:type="dxa"/>
          </w:tcPr>
          <w:p w:rsidR="00ED4BDD" w:rsidDel="00B15867" w:rsidRDefault="00ED4BDD" w:rsidP="00ED4BDD">
            <w:pPr>
              <w:rPr>
                <w:rFonts w:ascii="Arial" w:eastAsia="Times New Roman" w:hAnsi="Arial" w:cs="Arial"/>
                <w:szCs w:val="20"/>
                <w:lang w:val="en-US"/>
              </w:rPr>
            </w:pPr>
          </w:p>
        </w:tc>
      </w:tr>
      <w:tr w:rsidR="00ED4BDD">
        <w:tc>
          <w:tcPr>
            <w:tcW w:w="5211" w:type="dxa"/>
          </w:tcPr>
          <w:p w:rsidR="00ED4BDD" w:rsidRDefault="00ED4BDD" w:rsidP="00ED4BDD">
            <w:pPr>
              <w:tabs>
                <w:tab w:val="left" w:pos="567"/>
                <w:tab w:val="left" w:pos="2520"/>
              </w:tabs>
              <w:ind w:left="567" w:hanging="425"/>
              <w:jc w:val="both"/>
            </w:pPr>
            <w:r>
              <w:t xml:space="preserve">(g)   the insurance arrangement for the </w:t>
            </w:r>
            <w:r w:rsidR="00A30648">
              <w:t>F</w:t>
            </w:r>
            <w:r>
              <w:t>und;</w:t>
            </w:r>
          </w:p>
        </w:tc>
        <w:tc>
          <w:tcPr>
            <w:tcW w:w="2127" w:type="dxa"/>
          </w:tcPr>
          <w:p w:rsidR="00ED4BDD" w:rsidDel="00B15867" w:rsidRDefault="00ED4BDD" w:rsidP="00ED4BDD">
            <w:pPr>
              <w:rPr>
                <w:rFonts w:ascii="Arial" w:eastAsia="Times New Roman" w:hAnsi="Arial" w:cs="Arial"/>
                <w:szCs w:val="20"/>
                <w:lang w:val="en-US"/>
              </w:rPr>
            </w:pPr>
          </w:p>
        </w:tc>
        <w:tc>
          <w:tcPr>
            <w:tcW w:w="1984" w:type="dxa"/>
          </w:tcPr>
          <w:p w:rsidR="00ED4BDD" w:rsidDel="00B15867" w:rsidRDefault="00ED4BDD" w:rsidP="00ED4BDD">
            <w:pPr>
              <w:rPr>
                <w:rFonts w:ascii="Arial" w:eastAsia="Times New Roman" w:hAnsi="Arial" w:cs="Arial"/>
                <w:szCs w:val="20"/>
                <w:lang w:val="en-US"/>
              </w:rPr>
            </w:pPr>
          </w:p>
        </w:tc>
      </w:tr>
      <w:tr w:rsidR="00ED4BDD">
        <w:tc>
          <w:tcPr>
            <w:tcW w:w="5211" w:type="dxa"/>
          </w:tcPr>
          <w:p w:rsidR="00ED4BDD" w:rsidRDefault="00ED4BDD" w:rsidP="00ED4BDD">
            <w:pPr>
              <w:tabs>
                <w:tab w:val="left" w:pos="567"/>
                <w:tab w:val="left" w:pos="2520"/>
              </w:tabs>
              <w:ind w:left="567" w:hanging="425"/>
              <w:jc w:val="both"/>
            </w:pPr>
            <w:r>
              <w:t>(h)  a statement with respect to any material policy regarding real property activities;</w:t>
            </w:r>
          </w:p>
        </w:tc>
        <w:tc>
          <w:tcPr>
            <w:tcW w:w="2127" w:type="dxa"/>
          </w:tcPr>
          <w:p w:rsidR="00ED4BDD" w:rsidDel="00B15867" w:rsidRDefault="00ED4BDD" w:rsidP="00ED4BDD">
            <w:pPr>
              <w:rPr>
                <w:rFonts w:ascii="Arial" w:eastAsia="Times New Roman" w:hAnsi="Arial" w:cs="Arial"/>
                <w:szCs w:val="20"/>
                <w:lang w:val="en-US"/>
              </w:rPr>
            </w:pPr>
          </w:p>
        </w:tc>
        <w:tc>
          <w:tcPr>
            <w:tcW w:w="1984" w:type="dxa"/>
          </w:tcPr>
          <w:p w:rsidR="00ED4BDD" w:rsidDel="00B15867" w:rsidRDefault="00ED4BDD" w:rsidP="00ED4BDD">
            <w:pPr>
              <w:rPr>
                <w:rFonts w:ascii="Arial" w:eastAsia="Times New Roman" w:hAnsi="Arial" w:cs="Arial"/>
                <w:szCs w:val="20"/>
                <w:lang w:val="en-US"/>
              </w:rPr>
            </w:pPr>
          </w:p>
        </w:tc>
      </w:tr>
      <w:tr w:rsidR="00ED4BDD">
        <w:tc>
          <w:tcPr>
            <w:tcW w:w="5211" w:type="dxa"/>
          </w:tcPr>
          <w:p w:rsidR="00ED4BDD" w:rsidRDefault="00ED4BDD" w:rsidP="00ED4BDD">
            <w:pPr>
              <w:tabs>
                <w:tab w:val="left" w:pos="567"/>
                <w:tab w:val="left" w:pos="2520"/>
              </w:tabs>
              <w:ind w:left="596" w:hanging="596"/>
              <w:jc w:val="both"/>
            </w:pPr>
            <w:r>
              <w:t xml:space="preserve">   (I)  details of transactions or agreements entered into  with </w:t>
            </w:r>
            <w:r w:rsidR="00967176">
              <w:t>R</w:t>
            </w:r>
            <w:r>
              <w:t xml:space="preserve">elated </w:t>
            </w:r>
            <w:r w:rsidR="00967176">
              <w:t>P</w:t>
            </w:r>
            <w:r>
              <w:t>arties;</w:t>
            </w:r>
          </w:p>
        </w:tc>
        <w:tc>
          <w:tcPr>
            <w:tcW w:w="2127" w:type="dxa"/>
          </w:tcPr>
          <w:p w:rsidR="00ED4BDD" w:rsidDel="00B15867" w:rsidRDefault="00ED4BDD" w:rsidP="00ED4BDD">
            <w:pPr>
              <w:rPr>
                <w:rFonts w:ascii="Arial" w:eastAsia="Times New Roman" w:hAnsi="Arial" w:cs="Arial"/>
                <w:szCs w:val="20"/>
                <w:lang w:val="en-US"/>
              </w:rPr>
            </w:pPr>
          </w:p>
        </w:tc>
        <w:tc>
          <w:tcPr>
            <w:tcW w:w="1984" w:type="dxa"/>
          </w:tcPr>
          <w:p w:rsidR="00ED4BDD" w:rsidDel="00B15867" w:rsidRDefault="00ED4BDD" w:rsidP="00ED4BDD">
            <w:pPr>
              <w:rPr>
                <w:rFonts w:ascii="Arial" w:eastAsia="Times New Roman" w:hAnsi="Arial" w:cs="Arial"/>
                <w:szCs w:val="20"/>
                <w:lang w:val="en-US"/>
              </w:rPr>
            </w:pPr>
          </w:p>
        </w:tc>
      </w:tr>
      <w:tr w:rsidR="00ED4BDD">
        <w:tc>
          <w:tcPr>
            <w:tcW w:w="5211" w:type="dxa"/>
          </w:tcPr>
          <w:p w:rsidR="00ED4BDD" w:rsidRDefault="00ED4BDD" w:rsidP="00ED4BDD">
            <w:pPr>
              <w:tabs>
                <w:tab w:val="left" w:pos="567"/>
                <w:tab w:val="left" w:pos="2520"/>
              </w:tabs>
              <w:ind w:left="454" w:hanging="454"/>
            </w:pPr>
            <w:r>
              <w:t xml:space="preserve">   (j)  full particulars of the nature and extent of the interest, if any, of Related Parties, in the property owned or proposed to be acquired by the Fund;</w:t>
            </w:r>
          </w:p>
        </w:tc>
        <w:tc>
          <w:tcPr>
            <w:tcW w:w="2127" w:type="dxa"/>
          </w:tcPr>
          <w:p w:rsidR="00ED4BDD" w:rsidDel="00B15867" w:rsidRDefault="00ED4BDD" w:rsidP="00ED4BDD">
            <w:pPr>
              <w:rPr>
                <w:rFonts w:ascii="Arial" w:eastAsia="Times New Roman" w:hAnsi="Arial" w:cs="Arial"/>
                <w:szCs w:val="20"/>
                <w:lang w:val="en-US"/>
              </w:rPr>
            </w:pPr>
          </w:p>
        </w:tc>
        <w:tc>
          <w:tcPr>
            <w:tcW w:w="1984" w:type="dxa"/>
          </w:tcPr>
          <w:p w:rsidR="00ED4BDD" w:rsidDel="00B15867" w:rsidRDefault="00ED4BDD" w:rsidP="00ED4BDD">
            <w:pPr>
              <w:rPr>
                <w:rFonts w:ascii="Arial" w:eastAsia="Times New Roman" w:hAnsi="Arial" w:cs="Arial"/>
                <w:szCs w:val="20"/>
                <w:lang w:val="en-US"/>
              </w:rPr>
            </w:pPr>
          </w:p>
        </w:tc>
      </w:tr>
      <w:tr w:rsidR="00ED4BDD">
        <w:tc>
          <w:tcPr>
            <w:tcW w:w="5211" w:type="dxa"/>
          </w:tcPr>
          <w:p w:rsidR="00ED4BDD" w:rsidRDefault="00ED4BDD" w:rsidP="00ED4BDD">
            <w:pPr>
              <w:tabs>
                <w:tab w:val="left" w:pos="567"/>
                <w:tab w:val="left" w:pos="2520"/>
              </w:tabs>
              <w:ind w:left="454" w:hanging="454"/>
            </w:pPr>
            <w:r>
              <w:t xml:space="preserve">  (k)  details of significant holders and the number of units held and deemed to be held by each of them; </w:t>
            </w:r>
          </w:p>
        </w:tc>
        <w:tc>
          <w:tcPr>
            <w:tcW w:w="2127" w:type="dxa"/>
          </w:tcPr>
          <w:p w:rsidR="00ED4BDD" w:rsidDel="00B15867" w:rsidRDefault="00ED4BDD" w:rsidP="00ED4BDD">
            <w:pPr>
              <w:rPr>
                <w:rFonts w:ascii="Arial" w:eastAsia="Times New Roman" w:hAnsi="Arial" w:cs="Arial"/>
                <w:szCs w:val="20"/>
                <w:lang w:val="en-US"/>
              </w:rPr>
            </w:pPr>
          </w:p>
        </w:tc>
        <w:tc>
          <w:tcPr>
            <w:tcW w:w="1984" w:type="dxa"/>
          </w:tcPr>
          <w:p w:rsidR="00ED4BDD" w:rsidDel="00B15867" w:rsidRDefault="00ED4BDD" w:rsidP="00ED4BDD">
            <w:pPr>
              <w:rPr>
                <w:rFonts w:ascii="Arial" w:eastAsia="Times New Roman" w:hAnsi="Arial" w:cs="Arial"/>
                <w:szCs w:val="20"/>
                <w:lang w:val="en-US"/>
              </w:rPr>
            </w:pPr>
          </w:p>
        </w:tc>
      </w:tr>
      <w:tr w:rsidR="00ED4BDD">
        <w:tc>
          <w:tcPr>
            <w:tcW w:w="5211" w:type="dxa"/>
          </w:tcPr>
          <w:p w:rsidR="00ED4BDD" w:rsidRDefault="00366C14">
            <w:pPr>
              <w:tabs>
                <w:tab w:val="left" w:pos="567"/>
                <w:tab w:val="left" w:pos="2520"/>
              </w:tabs>
              <w:ind w:left="454" w:hanging="425"/>
            </w:pPr>
            <w:r>
              <w:t xml:space="preserve">  (</w:t>
            </w:r>
            <w:r w:rsidR="00165B4C">
              <w:t>l</w:t>
            </w:r>
            <w:r>
              <w:t>)  details of principal</w:t>
            </w:r>
            <w:r w:rsidR="00ED4BDD">
              <w:t xml:space="preserve"> taxes levied on the Fund’s income and capital, including tax, if any, deducted on distribution to Unitholders;</w:t>
            </w:r>
          </w:p>
        </w:tc>
        <w:tc>
          <w:tcPr>
            <w:tcW w:w="2127" w:type="dxa"/>
          </w:tcPr>
          <w:p w:rsidR="00ED4BDD" w:rsidDel="00B15867" w:rsidRDefault="00ED4BDD" w:rsidP="00ED4BDD">
            <w:pPr>
              <w:rPr>
                <w:rFonts w:ascii="Arial" w:eastAsia="Times New Roman" w:hAnsi="Arial" w:cs="Arial"/>
                <w:szCs w:val="20"/>
                <w:lang w:val="en-US"/>
              </w:rPr>
            </w:pPr>
          </w:p>
        </w:tc>
        <w:tc>
          <w:tcPr>
            <w:tcW w:w="1984" w:type="dxa"/>
          </w:tcPr>
          <w:p w:rsidR="00ED4BDD" w:rsidDel="00B15867" w:rsidRDefault="00ED4BDD" w:rsidP="00ED4BDD">
            <w:pPr>
              <w:rPr>
                <w:rFonts w:ascii="Arial" w:eastAsia="Times New Roman" w:hAnsi="Arial" w:cs="Arial"/>
                <w:szCs w:val="20"/>
                <w:lang w:val="en-US"/>
              </w:rPr>
            </w:pPr>
          </w:p>
        </w:tc>
      </w:tr>
      <w:tr w:rsidR="00ED4BDD">
        <w:tc>
          <w:tcPr>
            <w:tcW w:w="5211" w:type="dxa"/>
          </w:tcPr>
          <w:p w:rsidR="00ED4BDD" w:rsidRDefault="00ED4BDD" w:rsidP="00ED4BDD">
            <w:pPr>
              <w:tabs>
                <w:tab w:val="left" w:pos="567"/>
                <w:tab w:val="left" w:pos="2520"/>
              </w:tabs>
              <w:ind w:left="454" w:hanging="454"/>
            </w:pPr>
            <w:r>
              <w:t xml:space="preserve">  (m)  a statement to explain the standards according to which the property valuations are conducted; and </w:t>
            </w:r>
          </w:p>
        </w:tc>
        <w:tc>
          <w:tcPr>
            <w:tcW w:w="2127" w:type="dxa"/>
          </w:tcPr>
          <w:p w:rsidR="00ED4BDD" w:rsidDel="00B15867" w:rsidRDefault="00ED4BDD" w:rsidP="00ED4BDD">
            <w:pPr>
              <w:rPr>
                <w:rFonts w:ascii="Arial" w:eastAsia="Times New Roman" w:hAnsi="Arial" w:cs="Arial"/>
                <w:szCs w:val="20"/>
                <w:lang w:val="en-US"/>
              </w:rPr>
            </w:pPr>
          </w:p>
        </w:tc>
        <w:tc>
          <w:tcPr>
            <w:tcW w:w="1984" w:type="dxa"/>
          </w:tcPr>
          <w:p w:rsidR="00ED4BDD" w:rsidDel="00B15867" w:rsidRDefault="00ED4BDD" w:rsidP="00ED4BDD">
            <w:pPr>
              <w:rPr>
                <w:rFonts w:ascii="Arial" w:eastAsia="Times New Roman" w:hAnsi="Arial" w:cs="Arial"/>
                <w:szCs w:val="20"/>
                <w:lang w:val="en-US"/>
              </w:rPr>
            </w:pPr>
          </w:p>
        </w:tc>
      </w:tr>
      <w:tr w:rsidR="00ED4BDD">
        <w:tc>
          <w:tcPr>
            <w:tcW w:w="5211" w:type="dxa"/>
          </w:tcPr>
          <w:p w:rsidR="00ED4BDD" w:rsidRDefault="00ED4BDD" w:rsidP="00ED4BDD">
            <w:pPr>
              <w:tabs>
                <w:tab w:val="left" w:pos="567"/>
                <w:tab w:val="left" w:pos="2520"/>
              </w:tabs>
              <w:ind w:left="454" w:hanging="454"/>
            </w:pPr>
            <w:r>
              <w:t xml:space="preserve">  (n)   if applicable, the Fund is a REIT and whether the investment vehicle is an Investment Company or an Investment Trust. </w:t>
            </w:r>
          </w:p>
        </w:tc>
        <w:tc>
          <w:tcPr>
            <w:tcW w:w="2127" w:type="dxa"/>
          </w:tcPr>
          <w:p w:rsidR="00ED4BDD" w:rsidDel="00B15867" w:rsidRDefault="00ED4BDD" w:rsidP="00ED4BDD">
            <w:pPr>
              <w:rPr>
                <w:rFonts w:ascii="Arial" w:eastAsia="Times New Roman" w:hAnsi="Arial" w:cs="Arial"/>
                <w:szCs w:val="20"/>
                <w:lang w:val="en-US"/>
              </w:rPr>
            </w:pPr>
          </w:p>
        </w:tc>
        <w:tc>
          <w:tcPr>
            <w:tcW w:w="1984" w:type="dxa"/>
          </w:tcPr>
          <w:p w:rsidR="00ED4BDD" w:rsidDel="00B15867" w:rsidRDefault="00ED4BDD" w:rsidP="00ED4BDD">
            <w:pPr>
              <w:rPr>
                <w:rFonts w:ascii="Arial" w:eastAsia="Times New Roman" w:hAnsi="Arial" w:cs="Arial"/>
                <w:szCs w:val="20"/>
                <w:lang w:val="en-US"/>
              </w:rPr>
            </w:pPr>
          </w:p>
        </w:tc>
      </w:tr>
      <w:tr w:rsidR="00ED4BDD">
        <w:tc>
          <w:tcPr>
            <w:tcW w:w="9322" w:type="dxa"/>
            <w:gridSpan w:val="3"/>
          </w:tcPr>
          <w:p w:rsidR="00ED4BDD" w:rsidRDefault="00ED4BDD" w:rsidP="00ED4BDD">
            <w:pPr>
              <w:rPr>
                <w:rFonts w:ascii="Arial" w:eastAsia="Times New Roman" w:hAnsi="Arial" w:cs="Arial"/>
                <w:szCs w:val="20"/>
                <w:lang w:val="en-US"/>
              </w:rPr>
            </w:pPr>
            <w:r>
              <w:rPr>
                <w:rFonts w:ascii="Arial" w:eastAsia="Times New Roman" w:hAnsi="Arial" w:cs="Arial"/>
                <w:b/>
                <w:szCs w:val="20"/>
                <w:lang w:val="en-US"/>
              </w:rPr>
              <w:t>CIR 14.4.3</w:t>
            </w:r>
          </w:p>
        </w:tc>
      </w:tr>
      <w:tr w:rsidR="00ED4BDD">
        <w:tc>
          <w:tcPr>
            <w:tcW w:w="9322" w:type="dxa"/>
            <w:gridSpan w:val="3"/>
          </w:tcPr>
          <w:p w:rsidR="00ED4BDD" w:rsidRDefault="00ED4BDD" w:rsidP="00ED4BDD">
            <w:r>
              <w:t>A Fund Manager of a Property Fund must also disclose in the Fund’s Prospectus, in addition to the standard disclosure requirements, in respect of investment limits, the following information:</w:t>
            </w:r>
          </w:p>
        </w:tc>
      </w:tr>
      <w:tr w:rsidR="00ED4BDD">
        <w:tc>
          <w:tcPr>
            <w:tcW w:w="5211" w:type="dxa"/>
          </w:tcPr>
          <w:p w:rsidR="00ED4BDD" w:rsidRDefault="00ED4BDD" w:rsidP="00ED4BDD">
            <w:pPr>
              <w:tabs>
                <w:tab w:val="left" w:pos="567"/>
                <w:tab w:val="left" w:pos="2520"/>
              </w:tabs>
              <w:ind w:left="567" w:hanging="425"/>
              <w:jc w:val="both"/>
            </w:pPr>
            <w:r>
              <w:t>(a)</w:t>
            </w:r>
            <w:r>
              <w:tab/>
              <w:t>what percentage of the Property Fund’s net assets may consist of property related assets which are not traded in or dealt on markets provided for in the Constitution;</w:t>
            </w:r>
          </w:p>
        </w:tc>
        <w:tc>
          <w:tcPr>
            <w:tcW w:w="2127" w:type="dxa"/>
          </w:tcPr>
          <w:p w:rsidR="00ED4BDD" w:rsidRDefault="00ED4BDD" w:rsidP="00ED4BDD"/>
        </w:tc>
        <w:tc>
          <w:tcPr>
            <w:tcW w:w="1984" w:type="dxa"/>
          </w:tcPr>
          <w:p w:rsidR="00ED4BDD" w:rsidRDefault="00ED4BDD" w:rsidP="00ED4BDD">
            <w:r>
              <w:rPr>
                <w:rFonts w:ascii="Arial" w:eastAsia="Times New Roman" w:hAnsi="Arial" w:cs="Arial"/>
                <w:szCs w:val="20"/>
                <w:lang w:val="en-US"/>
              </w:rPr>
              <w:t xml:space="preserve"> </w:t>
            </w:r>
          </w:p>
        </w:tc>
      </w:tr>
      <w:tr w:rsidR="00ED4BDD">
        <w:tc>
          <w:tcPr>
            <w:tcW w:w="5211" w:type="dxa"/>
          </w:tcPr>
          <w:p w:rsidR="00ED4BDD" w:rsidRDefault="00ED4BDD" w:rsidP="00ED4BDD">
            <w:pPr>
              <w:tabs>
                <w:tab w:val="left" w:pos="567"/>
                <w:tab w:val="left" w:pos="2520"/>
              </w:tabs>
              <w:ind w:left="567" w:hanging="425"/>
              <w:jc w:val="both"/>
            </w:pPr>
            <w:r>
              <w:t>(b)</w:t>
            </w:r>
            <w:r>
              <w:tab/>
              <w:t>unless the Constitution and the Prospectus state that the Fund invests in a single property, the maximum percentage of the Fund’s net assets which may be invested in any single property or, if applicable, the conditions under which the Fund may derogate from this restriction;</w:t>
            </w:r>
          </w:p>
        </w:tc>
        <w:tc>
          <w:tcPr>
            <w:tcW w:w="2127" w:type="dxa"/>
          </w:tcPr>
          <w:p w:rsidR="00ED4BDD" w:rsidRDefault="00ED4BDD" w:rsidP="00ED4BDD"/>
        </w:tc>
        <w:tc>
          <w:tcPr>
            <w:tcW w:w="1984" w:type="dxa"/>
          </w:tcPr>
          <w:p w:rsidR="00ED4BDD" w:rsidRDefault="00ED4BDD" w:rsidP="00ED4BDD"/>
        </w:tc>
      </w:tr>
      <w:tr w:rsidR="00ED4BDD">
        <w:tc>
          <w:tcPr>
            <w:tcW w:w="5211" w:type="dxa"/>
          </w:tcPr>
          <w:p w:rsidR="00ED4BDD" w:rsidRDefault="00ED4BDD" w:rsidP="00ED4BDD">
            <w:pPr>
              <w:tabs>
                <w:tab w:val="left" w:pos="567"/>
                <w:tab w:val="left" w:pos="2520"/>
              </w:tabs>
              <w:ind w:left="567" w:hanging="425"/>
              <w:jc w:val="both"/>
            </w:pPr>
            <w:r>
              <w:t>(c)</w:t>
            </w:r>
            <w:r>
              <w:tab/>
              <w:t>the maximum percentage of the Property Fund’s net assets which may be invested in properties which are vacant, in the process of development or requiring development; and</w:t>
            </w:r>
          </w:p>
        </w:tc>
        <w:tc>
          <w:tcPr>
            <w:tcW w:w="2127" w:type="dxa"/>
          </w:tcPr>
          <w:p w:rsidR="00ED4BDD" w:rsidRDefault="00ED4BDD" w:rsidP="00ED4BDD"/>
        </w:tc>
        <w:tc>
          <w:tcPr>
            <w:tcW w:w="1984" w:type="dxa"/>
          </w:tcPr>
          <w:p w:rsidR="00ED4BDD" w:rsidRDefault="00ED4BDD" w:rsidP="00ED4BDD"/>
        </w:tc>
      </w:tr>
      <w:tr w:rsidR="00ED4BDD">
        <w:tc>
          <w:tcPr>
            <w:tcW w:w="5211" w:type="dxa"/>
          </w:tcPr>
          <w:p w:rsidR="00ED4BDD" w:rsidRDefault="00ED4BDD">
            <w:pPr>
              <w:tabs>
                <w:tab w:val="left" w:pos="567"/>
                <w:tab w:val="left" w:pos="2520"/>
              </w:tabs>
              <w:ind w:left="567" w:hanging="425"/>
              <w:jc w:val="both"/>
            </w:pPr>
            <w:r>
              <w:t>(d)</w:t>
            </w:r>
            <w:r>
              <w:tab/>
              <w:t>the maximum percentage of the Property Fund’s net assets which may be invested in properties which are subject to a mortgage</w:t>
            </w:r>
            <w:r w:rsidR="00FA7ED9">
              <w:t>.</w:t>
            </w:r>
          </w:p>
        </w:tc>
        <w:tc>
          <w:tcPr>
            <w:tcW w:w="2127" w:type="dxa"/>
          </w:tcPr>
          <w:p w:rsidR="00ED4BDD" w:rsidRDefault="00ED4BDD" w:rsidP="00ED4BDD"/>
        </w:tc>
        <w:tc>
          <w:tcPr>
            <w:tcW w:w="1984" w:type="dxa"/>
          </w:tcPr>
          <w:p w:rsidR="00ED4BDD" w:rsidRDefault="00ED4BDD" w:rsidP="00ED4BDD"/>
        </w:tc>
      </w:tr>
      <w:tr w:rsidR="00ED4BDD">
        <w:tc>
          <w:tcPr>
            <w:tcW w:w="9322" w:type="dxa"/>
            <w:gridSpan w:val="3"/>
          </w:tcPr>
          <w:p w:rsidR="00ED4BDD" w:rsidRDefault="00ED4BDD" w:rsidP="00ED4BDD">
            <w:pPr>
              <w:rPr>
                <w:rFonts w:ascii="Arial" w:eastAsia="Times New Roman" w:hAnsi="Arial" w:cs="Arial"/>
                <w:szCs w:val="20"/>
                <w:lang w:val="en-US"/>
              </w:rPr>
            </w:pPr>
            <w:r>
              <w:rPr>
                <w:rFonts w:ascii="Arial" w:eastAsia="Times New Roman" w:hAnsi="Arial" w:cs="Arial"/>
                <w:b/>
                <w:szCs w:val="20"/>
                <w:lang w:val="en-US"/>
              </w:rPr>
              <w:t>CIR 14.4.4</w:t>
            </w:r>
          </w:p>
        </w:tc>
      </w:tr>
      <w:tr w:rsidR="00ED4BDD">
        <w:tc>
          <w:tcPr>
            <w:tcW w:w="9322" w:type="dxa"/>
            <w:gridSpan w:val="3"/>
          </w:tcPr>
          <w:p w:rsidR="00ED4BDD" w:rsidRDefault="00ED4BDD">
            <w:r>
              <w:t xml:space="preserve">Without limiting any other disclosure obligations of the Fund Manager under the </w:t>
            </w:r>
            <w:r w:rsidR="001449AC">
              <w:t xml:space="preserve">CIR </w:t>
            </w:r>
            <w:r>
              <w:t>Rules, a Fund Manager of a Property Fund which is a Public Fund that invests in a single property must prominently disclose in the Prospectus of the Fund:</w:t>
            </w:r>
          </w:p>
        </w:tc>
      </w:tr>
      <w:tr w:rsidR="00ED4BDD">
        <w:tc>
          <w:tcPr>
            <w:tcW w:w="5211" w:type="dxa"/>
          </w:tcPr>
          <w:p w:rsidR="00ED4BDD" w:rsidRDefault="00ED4BDD" w:rsidP="00ED4BDD">
            <w:pPr>
              <w:tabs>
                <w:tab w:val="left" w:pos="567"/>
                <w:tab w:val="left" w:pos="2520"/>
              </w:tabs>
              <w:ind w:left="567" w:hanging="425"/>
              <w:jc w:val="both"/>
            </w:pPr>
            <w:r>
              <w:t>(a)</w:t>
            </w:r>
            <w:r>
              <w:tab/>
              <w:t>that the Fund invests in a single property</w:t>
            </w:r>
            <w:r w:rsidR="00BC3F29">
              <w:t>;</w:t>
            </w:r>
          </w:p>
        </w:tc>
        <w:tc>
          <w:tcPr>
            <w:tcW w:w="2127" w:type="dxa"/>
          </w:tcPr>
          <w:p w:rsidR="00ED4BDD" w:rsidRDefault="00ED4BDD" w:rsidP="00ED4BDD"/>
        </w:tc>
        <w:tc>
          <w:tcPr>
            <w:tcW w:w="1984" w:type="dxa"/>
          </w:tcPr>
          <w:p w:rsidR="00ED4BDD" w:rsidRDefault="00ED4BDD" w:rsidP="00ED4BDD"/>
        </w:tc>
      </w:tr>
      <w:tr w:rsidR="00ED4BDD">
        <w:tc>
          <w:tcPr>
            <w:tcW w:w="5211" w:type="dxa"/>
          </w:tcPr>
          <w:p w:rsidR="00ED4BDD" w:rsidRDefault="00ED4BDD" w:rsidP="00ED4BDD">
            <w:pPr>
              <w:tabs>
                <w:tab w:val="left" w:pos="567"/>
                <w:tab w:val="left" w:pos="2520"/>
              </w:tabs>
              <w:ind w:left="567" w:hanging="425"/>
              <w:jc w:val="both"/>
            </w:pPr>
            <w:r>
              <w:t>(b)</w:t>
            </w:r>
            <w:r>
              <w:tab/>
              <w:t>details relating to the single property such as whether the property comprises individual properties or buildings, whether there are different types of uses of or businesses conducted in the property, and proportions of anticipated income to be derived from the types of uses or occupants of the property</w:t>
            </w:r>
            <w:r w:rsidR="00BC3F29">
              <w:t>; and</w:t>
            </w:r>
          </w:p>
        </w:tc>
        <w:tc>
          <w:tcPr>
            <w:tcW w:w="2127" w:type="dxa"/>
          </w:tcPr>
          <w:p w:rsidR="00ED4BDD" w:rsidRDefault="00ED4BDD" w:rsidP="00ED4BDD"/>
        </w:tc>
        <w:tc>
          <w:tcPr>
            <w:tcW w:w="1984" w:type="dxa"/>
          </w:tcPr>
          <w:p w:rsidR="00ED4BDD" w:rsidRDefault="00ED4BDD" w:rsidP="00ED4BDD"/>
        </w:tc>
      </w:tr>
      <w:tr w:rsidR="00ED4BDD">
        <w:tc>
          <w:tcPr>
            <w:tcW w:w="5211" w:type="dxa"/>
          </w:tcPr>
          <w:p w:rsidR="00ED4BDD" w:rsidRDefault="00ED4BDD" w:rsidP="00ED4BDD">
            <w:pPr>
              <w:tabs>
                <w:tab w:val="left" w:pos="567"/>
                <w:tab w:val="left" w:pos="2520"/>
              </w:tabs>
              <w:ind w:left="567" w:hanging="425"/>
              <w:jc w:val="both"/>
            </w:pPr>
            <w:r>
              <w:t>(c)</w:t>
            </w:r>
            <w:r>
              <w:tab/>
              <w:t>any risks associated with the investment in the single property, including risks arising from or affecting income to be derived from the uses or occupants of the property.</w:t>
            </w:r>
          </w:p>
        </w:tc>
        <w:tc>
          <w:tcPr>
            <w:tcW w:w="2127" w:type="dxa"/>
          </w:tcPr>
          <w:p w:rsidR="00ED4BDD" w:rsidRDefault="00ED4BDD" w:rsidP="00ED4BDD"/>
        </w:tc>
        <w:tc>
          <w:tcPr>
            <w:tcW w:w="1984" w:type="dxa"/>
          </w:tcPr>
          <w:p w:rsidR="00ED4BDD" w:rsidRDefault="00ED4BDD" w:rsidP="00ED4BDD"/>
        </w:tc>
      </w:tr>
      <w:tr w:rsidR="00ED4BDD">
        <w:tc>
          <w:tcPr>
            <w:tcW w:w="9322" w:type="dxa"/>
            <w:gridSpan w:val="3"/>
          </w:tcPr>
          <w:p w:rsidR="00ED4BDD" w:rsidRDefault="00ED4BDD" w:rsidP="00ED4BDD">
            <w:pPr>
              <w:rPr>
                <w:rFonts w:ascii="Arial" w:eastAsia="Times New Roman" w:hAnsi="Arial" w:cs="Arial"/>
                <w:b/>
                <w:szCs w:val="20"/>
                <w:lang w:val="en-US"/>
              </w:rPr>
            </w:pPr>
            <w:r>
              <w:rPr>
                <w:rFonts w:ascii="Arial" w:eastAsia="Times New Roman" w:hAnsi="Arial" w:cs="Arial"/>
                <w:b/>
                <w:szCs w:val="20"/>
                <w:lang w:val="en-US"/>
              </w:rPr>
              <w:t>CIR 14.4.4 A</w:t>
            </w:r>
          </w:p>
        </w:tc>
      </w:tr>
      <w:tr w:rsidR="00ED4BDD">
        <w:tc>
          <w:tcPr>
            <w:tcW w:w="9322" w:type="dxa"/>
            <w:gridSpan w:val="3"/>
          </w:tcPr>
          <w:p w:rsidR="00ED4BDD" w:rsidRPr="001B71C2" w:rsidRDefault="00ED4BDD" w:rsidP="00ED4BDD">
            <w:pPr>
              <w:pStyle w:val="BodyText"/>
              <w:tabs>
                <w:tab w:val="left" w:pos="1557"/>
              </w:tabs>
              <w:ind w:left="0" w:right="1158" w:firstLine="0"/>
              <w:jc w:val="both"/>
              <w:rPr>
                <w:rFonts w:asciiTheme="minorBidi" w:eastAsiaTheme="minorHAnsi" w:hAnsiTheme="minorBidi"/>
                <w:sz w:val="20"/>
                <w:lang w:val="en-GB"/>
              </w:rPr>
            </w:pPr>
            <w:r w:rsidRPr="001B71C2">
              <w:rPr>
                <w:rFonts w:asciiTheme="minorBidi" w:eastAsiaTheme="minorHAnsi" w:hAnsiTheme="minorBidi"/>
                <w:sz w:val="20"/>
                <w:lang w:val="en-GB"/>
              </w:rPr>
              <w:t>Without limiting any other disclosure obligations of the Fund Manager under the</w:t>
            </w:r>
            <w:r w:rsidR="001449AC">
              <w:rPr>
                <w:rFonts w:asciiTheme="minorBidi" w:eastAsiaTheme="minorHAnsi" w:hAnsiTheme="minorBidi"/>
                <w:sz w:val="20"/>
                <w:lang w:val="en-GB"/>
              </w:rPr>
              <w:t xml:space="preserve"> CIR </w:t>
            </w:r>
            <w:r w:rsidRPr="001B71C2">
              <w:rPr>
                <w:rFonts w:asciiTheme="minorBidi" w:eastAsiaTheme="minorHAnsi" w:hAnsiTheme="minorBidi"/>
                <w:sz w:val="20"/>
                <w:lang w:val="en-GB"/>
              </w:rPr>
              <w:t xml:space="preserve"> Rules, if the Fund Manager of a Public Property Fund itself acts as custodian of Real Property in accordance with </w:t>
            </w:r>
            <w:r w:rsidR="001A5B12">
              <w:rPr>
                <w:rFonts w:asciiTheme="minorBidi" w:eastAsiaTheme="minorHAnsi" w:hAnsiTheme="minorBidi"/>
                <w:sz w:val="20"/>
                <w:lang w:val="en-GB"/>
              </w:rPr>
              <w:t xml:space="preserve">CIR </w:t>
            </w:r>
            <w:r w:rsidRPr="001B71C2">
              <w:rPr>
                <w:rFonts w:asciiTheme="minorBidi" w:eastAsiaTheme="minorHAnsi" w:hAnsiTheme="minorBidi"/>
                <w:sz w:val="20"/>
                <w:lang w:val="en-GB"/>
              </w:rPr>
              <w:t>Rule 13.4.2, it must prominently disclose in the Fund’s Prospectus:</w:t>
            </w:r>
          </w:p>
          <w:p w:rsidR="00ED4BDD" w:rsidRPr="00DB17FF" w:rsidRDefault="00ED4BDD" w:rsidP="00ED4BDD">
            <w:pPr>
              <w:rPr>
                <w:rFonts w:ascii="Arial" w:eastAsia="Times New Roman" w:hAnsi="Arial" w:cs="Arial"/>
                <w:b/>
                <w:szCs w:val="20"/>
              </w:rPr>
            </w:pPr>
          </w:p>
        </w:tc>
      </w:tr>
      <w:tr w:rsidR="00ED4BDD" w:rsidTr="00DB17FF">
        <w:tc>
          <w:tcPr>
            <w:tcW w:w="5211" w:type="dxa"/>
          </w:tcPr>
          <w:p w:rsidR="00ED4BDD" w:rsidRPr="001B71C2" w:rsidRDefault="00ED4BDD" w:rsidP="00ED4BDD">
            <w:pPr>
              <w:pStyle w:val="BodyText"/>
              <w:numPr>
                <w:ilvl w:val="0"/>
                <w:numId w:val="8"/>
              </w:numPr>
              <w:tabs>
                <w:tab w:val="left" w:pos="1557"/>
              </w:tabs>
              <w:ind w:right="1158" w:hanging="549"/>
              <w:jc w:val="both"/>
              <w:rPr>
                <w:rFonts w:asciiTheme="minorBidi" w:eastAsiaTheme="minorHAnsi" w:hAnsiTheme="minorBidi"/>
                <w:sz w:val="20"/>
                <w:lang w:val="en-GB"/>
              </w:rPr>
            </w:pPr>
            <w:r>
              <w:rPr>
                <w:rFonts w:asciiTheme="minorBidi" w:eastAsiaTheme="minorHAnsi" w:hAnsiTheme="minorBidi"/>
                <w:sz w:val="20"/>
                <w:lang w:val="en-GB"/>
              </w:rPr>
              <w:t>that it acts as custodian of the Real Property;</w:t>
            </w:r>
          </w:p>
        </w:tc>
        <w:tc>
          <w:tcPr>
            <w:tcW w:w="2127" w:type="dxa"/>
          </w:tcPr>
          <w:p w:rsidR="00ED4BDD" w:rsidRPr="001B71C2" w:rsidRDefault="00ED4BDD" w:rsidP="00ED4BDD">
            <w:pPr>
              <w:pStyle w:val="BodyText"/>
              <w:tabs>
                <w:tab w:val="left" w:pos="1557"/>
              </w:tabs>
              <w:ind w:left="0" w:right="1158" w:firstLine="0"/>
              <w:jc w:val="both"/>
              <w:rPr>
                <w:rFonts w:asciiTheme="minorBidi" w:eastAsiaTheme="minorHAnsi" w:hAnsiTheme="minorBidi"/>
                <w:sz w:val="20"/>
                <w:lang w:val="en-GB"/>
              </w:rPr>
            </w:pPr>
          </w:p>
        </w:tc>
        <w:tc>
          <w:tcPr>
            <w:tcW w:w="1984" w:type="dxa"/>
          </w:tcPr>
          <w:p w:rsidR="00ED4BDD" w:rsidRPr="001B71C2" w:rsidRDefault="00ED4BDD" w:rsidP="00ED4BDD">
            <w:pPr>
              <w:pStyle w:val="BodyText"/>
              <w:tabs>
                <w:tab w:val="left" w:pos="1557"/>
              </w:tabs>
              <w:ind w:left="0" w:right="1158" w:firstLine="0"/>
              <w:jc w:val="both"/>
              <w:rPr>
                <w:rFonts w:asciiTheme="minorBidi" w:eastAsiaTheme="minorHAnsi" w:hAnsiTheme="minorBidi"/>
                <w:sz w:val="20"/>
                <w:lang w:val="en-GB"/>
              </w:rPr>
            </w:pPr>
          </w:p>
        </w:tc>
      </w:tr>
      <w:tr w:rsidR="00ED4BDD" w:rsidTr="00DB17FF">
        <w:tc>
          <w:tcPr>
            <w:tcW w:w="5211" w:type="dxa"/>
          </w:tcPr>
          <w:p w:rsidR="00ED4BDD" w:rsidRPr="001B71C2" w:rsidRDefault="00ED4BDD" w:rsidP="00ED4BDD">
            <w:pPr>
              <w:pStyle w:val="BodyText"/>
              <w:numPr>
                <w:ilvl w:val="0"/>
                <w:numId w:val="8"/>
              </w:numPr>
              <w:tabs>
                <w:tab w:val="left" w:pos="1557"/>
              </w:tabs>
              <w:ind w:right="1158" w:hanging="549"/>
              <w:jc w:val="both"/>
              <w:rPr>
                <w:rFonts w:asciiTheme="minorBidi" w:eastAsiaTheme="minorHAnsi" w:hAnsiTheme="minorBidi"/>
                <w:sz w:val="20"/>
                <w:lang w:val="en-GB"/>
              </w:rPr>
            </w:pPr>
            <w:r>
              <w:rPr>
                <w:rFonts w:asciiTheme="minorBidi" w:eastAsiaTheme="minorHAnsi" w:hAnsiTheme="minorBidi"/>
                <w:sz w:val="20"/>
                <w:lang w:val="en-GB"/>
              </w:rPr>
              <w:t xml:space="preserve">the risks that may arise as a result of it acting as custodian rather than delegating the function to an Eligible Custodian; and </w:t>
            </w:r>
          </w:p>
        </w:tc>
        <w:tc>
          <w:tcPr>
            <w:tcW w:w="2127" w:type="dxa"/>
          </w:tcPr>
          <w:p w:rsidR="00ED4BDD" w:rsidRPr="001B71C2" w:rsidRDefault="00ED4BDD" w:rsidP="00ED4BDD">
            <w:pPr>
              <w:pStyle w:val="BodyText"/>
              <w:tabs>
                <w:tab w:val="left" w:pos="1557"/>
              </w:tabs>
              <w:ind w:left="0" w:right="1158" w:firstLine="0"/>
              <w:jc w:val="both"/>
              <w:rPr>
                <w:rFonts w:asciiTheme="minorBidi" w:eastAsiaTheme="minorHAnsi" w:hAnsiTheme="minorBidi"/>
                <w:sz w:val="20"/>
                <w:lang w:val="en-GB"/>
              </w:rPr>
            </w:pPr>
          </w:p>
        </w:tc>
        <w:tc>
          <w:tcPr>
            <w:tcW w:w="1984" w:type="dxa"/>
          </w:tcPr>
          <w:p w:rsidR="00ED4BDD" w:rsidRPr="001B71C2" w:rsidRDefault="00ED4BDD" w:rsidP="00ED4BDD">
            <w:pPr>
              <w:pStyle w:val="BodyText"/>
              <w:tabs>
                <w:tab w:val="left" w:pos="1557"/>
              </w:tabs>
              <w:ind w:left="0" w:right="1158" w:firstLine="0"/>
              <w:jc w:val="both"/>
              <w:rPr>
                <w:rFonts w:asciiTheme="minorBidi" w:eastAsiaTheme="minorHAnsi" w:hAnsiTheme="minorBidi"/>
                <w:sz w:val="20"/>
                <w:lang w:val="en-GB"/>
              </w:rPr>
            </w:pPr>
          </w:p>
        </w:tc>
      </w:tr>
      <w:tr w:rsidR="00ED4BDD" w:rsidTr="00DB17FF">
        <w:tc>
          <w:tcPr>
            <w:tcW w:w="5211" w:type="dxa"/>
          </w:tcPr>
          <w:p w:rsidR="00ED4BDD" w:rsidRPr="001B71C2" w:rsidRDefault="00ED4BDD" w:rsidP="00ED4BDD">
            <w:pPr>
              <w:pStyle w:val="BodyText"/>
              <w:numPr>
                <w:ilvl w:val="0"/>
                <w:numId w:val="8"/>
              </w:numPr>
              <w:tabs>
                <w:tab w:val="left" w:pos="1557"/>
              </w:tabs>
              <w:ind w:right="1158" w:hanging="549"/>
              <w:jc w:val="both"/>
              <w:rPr>
                <w:rFonts w:asciiTheme="minorBidi" w:eastAsiaTheme="minorHAnsi" w:hAnsiTheme="minorBidi"/>
                <w:sz w:val="20"/>
                <w:lang w:val="en-GB"/>
              </w:rPr>
            </w:pPr>
            <w:r>
              <w:rPr>
                <w:rFonts w:asciiTheme="minorBidi" w:eastAsiaTheme="minorHAnsi" w:hAnsiTheme="minorBidi"/>
                <w:sz w:val="20"/>
                <w:lang w:val="en-GB"/>
              </w:rPr>
              <w:t>the measures and safeguards it has in place to ensure the proper segregation and protection of the Real Property</w:t>
            </w:r>
            <w:r w:rsidR="00CA7580">
              <w:rPr>
                <w:rFonts w:asciiTheme="minorBidi" w:eastAsiaTheme="minorHAnsi" w:hAnsiTheme="minorBidi"/>
                <w:sz w:val="20"/>
                <w:lang w:val="en-GB"/>
              </w:rPr>
              <w:t>.</w:t>
            </w:r>
          </w:p>
        </w:tc>
        <w:tc>
          <w:tcPr>
            <w:tcW w:w="2127" w:type="dxa"/>
          </w:tcPr>
          <w:p w:rsidR="00ED4BDD" w:rsidRPr="001B71C2" w:rsidRDefault="00ED4BDD" w:rsidP="00ED4BDD">
            <w:pPr>
              <w:pStyle w:val="BodyText"/>
              <w:tabs>
                <w:tab w:val="left" w:pos="1557"/>
              </w:tabs>
              <w:ind w:left="0" w:right="1158" w:firstLine="0"/>
              <w:jc w:val="both"/>
              <w:rPr>
                <w:rFonts w:asciiTheme="minorBidi" w:eastAsiaTheme="minorHAnsi" w:hAnsiTheme="minorBidi"/>
                <w:sz w:val="20"/>
                <w:lang w:val="en-GB"/>
              </w:rPr>
            </w:pPr>
          </w:p>
        </w:tc>
        <w:tc>
          <w:tcPr>
            <w:tcW w:w="1984" w:type="dxa"/>
          </w:tcPr>
          <w:p w:rsidR="00ED4BDD" w:rsidRPr="001B71C2" w:rsidRDefault="00ED4BDD" w:rsidP="00ED4BDD">
            <w:pPr>
              <w:pStyle w:val="BodyText"/>
              <w:tabs>
                <w:tab w:val="left" w:pos="1557"/>
              </w:tabs>
              <w:ind w:left="0" w:right="1158" w:firstLine="0"/>
              <w:jc w:val="both"/>
              <w:rPr>
                <w:rFonts w:asciiTheme="minorBidi" w:eastAsiaTheme="minorHAnsi" w:hAnsiTheme="minorBidi"/>
                <w:sz w:val="20"/>
                <w:lang w:val="en-GB"/>
              </w:rPr>
            </w:pPr>
          </w:p>
        </w:tc>
      </w:tr>
      <w:tr w:rsidR="00ED4BDD" w:rsidTr="00CD3639">
        <w:tc>
          <w:tcPr>
            <w:tcW w:w="9322" w:type="dxa"/>
            <w:gridSpan w:val="3"/>
          </w:tcPr>
          <w:p w:rsidR="00ED4BDD" w:rsidRPr="001B71C2" w:rsidRDefault="00ED4BDD" w:rsidP="00ED4BDD">
            <w:pPr>
              <w:pStyle w:val="BodyText"/>
              <w:tabs>
                <w:tab w:val="left" w:pos="1557"/>
              </w:tabs>
              <w:ind w:left="0" w:right="1158" w:firstLine="0"/>
              <w:jc w:val="both"/>
              <w:rPr>
                <w:rFonts w:asciiTheme="minorBidi" w:eastAsiaTheme="minorHAnsi" w:hAnsiTheme="minorBidi"/>
                <w:sz w:val="20"/>
                <w:lang w:val="en-GB"/>
              </w:rPr>
            </w:pPr>
            <w:r w:rsidRPr="007C6CD2">
              <w:rPr>
                <w:rFonts w:eastAsia="Times New Roman" w:cs="Arial"/>
                <w:b/>
                <w:sz w:val="20"/>
                <w:szCs w:val="20"/>
              </w:rPr>
              <w:t>CIR 14.4.4 B</w:t>
            </w:r>
          </w:p>
        </w:tc>
      </w:tr>
      <w:tr w:rsidR="00ED4BDD" w:rsidTr="00847327">
        <w:tc>
          <w:tcPr>
            <w:tcW w:w="5211" w:type="dxa"/>
          </w:tcPr>
          <w:p w:rsidR="00ED4BDD" w:rsidRPr="006F3367" w:rsidRDefault="00ED4BDD">
            <w:pPr>
              <w:pStyle w:val="BodyText"/>
              <w:tabs>
                <w:tab w:val="left" w:pos="1555"/>
              </w:tabs>
              <w:spacing w:before="72"/>
              <w:ind w:left="0" w:right="1158" w:firstLine="0"/>
              <w:jc w:val="both"/>
              <w:rPr>
                <w:rFonts w:asciiTheme="minorBidi" w:eastAsiaTheme="minorHAnsi" w:hAnsiTheme="minorBidi"/>
                <w:sz w:val="20"/>
                <w:lang w:val="en-GB"/>
              </w:rPr>
            </w:pPr>
            <w:r w:rsidRPr="006F3367">
              <w:rPr>
                <w:rFonts w:asciiTheme="minorBidi" w:eastAsiaTheme="minorHAnsi" w:hAnsiTheme="minorBidi"/>
                <w:sz w:val="20"/>
                <w:lang w:val="en-GB"/>
              </w:rPr>
              <w:t>Without limiting any other disclosure obligations of the Fund Manager under the</w:t>
            </w:r>
            <w:r w:rsidR="001449AC">
              <w:rPr>
                <w:rFonts w:asciiTheme="minorBidi" w:eastAsiaTheme="minorHAnsi" w:hAnsiTheme="minorBidi"/>
                <w:sz w:val="20"/>
                <w:lang w:val="en-GB"/>
              </w:rPr>
              <w:t xml:space="preserve"> CIR</w:t>
            </w:r>
            <w:r w:rsidRPr="006F3367">
              <w:rPr>
                <w:rFonts w:asciiTheme="minorBidi" w:eastAsiaTheme="minorHAnsi" w:hAnsiTheme="minorBidi"/>
                <w:sz w:val="20"/>
                <w:lang w:val="en-GB"/>
              </w:rPr>
              <w:t xml:space="preserve"> Rules, if the Fund Manager of a Public Property Fund has approval to enter into Related Party Transactions in accordance with </w:t>
            </w:r>
            <w:r w:rsidR="008D7217">
              <w:rPr>
                <w:rFonts w:asciiTheme="minorBidi" w:eastAsiaTheme="minorHAnsi" w:hAnsiTheme="minorBidi"/>
                <w:sz w:val="20"/>
                <w:lang w:val="en-GB"/>
              </w:rPr>
              <w:t xml:space="preserve">CIR </w:t>
            </w:r>
            <w:r w:rsidRPr="006F3367">
              <w:rPr>
                <w:rFonts w:asciiTheme="minorBidi" w:eastAsiaTheme="minorHAnsi" w:hAnsiTheme="minorBidi"/>
                <w:sz w:val="20"/>
                <w:lang w:val="en-GB"/>
              </w:rPr>
              <w:t>Rule 13.4.11A, it must disclose that fact in the Fund’s Prospectus.</w:t>
            </w:r>
          </w:p>
        </w:tc>
        <w:tc>
          <w:tcPr>
            <w:tcW w:w="2127" w:type="dxa"/>
          </w:tcPr>
          <w:p w:rsidR="00ED4BDD" w:rsidRPr="004E04A0" w:rsidRDefault="00ED4BDD" w:rsidP="00ED4BDD">
            <w:pPr>
              <w:pStyle w:val="BodyText"/>
              <w:tabs>
                <w:tab w:val="left" w:pos="1557"/>
              </w:tabs>
              <w:ind w:left="0" w:right="1158" w:firstLine="0"/>
              <w:jc w:val="both"/>
              <w:rPr>
                <w:rFonts w:eastAsia="Times New Roman" w:cs="Arial"/>
                <w:b/>
                <w:szCs w:val="20"/>
                <w:lang w:val="en-GB"/>
              </w:rPr>
            </w:pPr>
          </w:p>
        </w:tc>
        <w:tc>
          <w:tcPr>
            <w:tcW w:w="1984" w:type="dxa"/>
          </w:tcPr>
          <w:p w:rsidR="00ED4BDD" w:rsidRPr="004E04A0" w:rsidRDefault="00ED4BDD" w:rsidP="00ED4BDD">
            <w:pPr>
              <w:pStyle w:val="BodyText"/>
              <w:tabs>
                <w:tab w:val="left" w:pos="1557"/>
              </w:tabs>
              <w:ind w:left="0" w:right="1158" w:firstLine="0"/>
              <w:jc w:val="both"/>
              <w:rPr>
                <w:rFonts w:eastAsia="Times New Roman" w:cs="Arial"/>
                <w:b/>
                <w:szCs w:val="20"/>
                <w:lang w:val="en-GB"/>
              </w:rPr>
            </w:pPr>
          </w:p>
        </w:tc>
      </w:tr>
      <w:tr w:rsidR="00ED4BDD" w:rsidTr="009F578D">
        <w:tc>
          <w:tcPr>
            <w:tcW w:w="9322" w:type="dxa"/>
            <w:gridSpan w:val="3"/>
            <w:shd w:val="clear" w:color="auto" w:fill="BFBFBF" w:themeFill="background1" w:themeFillShade="BF"/>
          </w:tcPr>
          <w:p w:rsidR="009F578D" w:rsidRPr="006F3367" w:rsidRDefault="00ED4BDD" w:rsidP="00ED4BDD">
            <w:pPr>
              <w:pStyle w:val="BodyText"/>
              <w:tabs>
                <w:tab w:val="left" w:pos="1555"/>
              </w:tabs>
              <w:spacing w:before="72"/>
              <w:ind w:left="0" w:right="1158" w:firstLine="0"/>
              <w:jc w:val="both"/>
              <w:rPr>
                <w:rFonts w:asciiTheme="minorBidi" w:eastAsiaTheme="minorHAnsi" w:hAnsiTheme="minorBidi"/>
                <w:sz w:val="20"/>
                <w:lang w:val="en-GB"/>
              </w:rPr>
            </w:pPr>
            <w:r w:rsidRPr="004E04A0">
              <w:rPr>
                <w:rFonts w:eastAsia="Times New Roman" w:cs="Arial"/>
                <w:b/>
                <w:sz w:val="20"/>
                <w:szCs w:val="20"/>
              </w:rPr>
              <w:t>Prospectus for a Private Equity Fund</w:t>
            </w:r>
            <w:r>
              <w:rPr>
                <w:rFonts w:asciiTheme="minorBidi" w:eastAsiaTheme="minorHAnsi" w:hAnsiTheme="minorBidi"/>
                <w:sz w:val="20"/>
                <w:lang w:val="en-GB"/>
              </w:rPr>
              <w:t xml:space="preserve"> </w:t>
            </w:r>
          </w:p>
        </w:tc>
      </w:tr>
      <w:tr w:rsidR="00ED4BDD" w:rsidTr="00CD3639">
        <w:tc>
          <w:tcPr>
            <w:tcW w:w="9322" w:type="dxa"/>
            <w:gridSpan w:val="3"/>
          </w:tcPr>
          <w:p w:rsidR="00ED4BDD" w:rsidRPr="004E04A0" w:rsidRDefault="00ED4BDD" w:rsidP="00ED4BDD">
            <w:pPr>
              <w:pStyle w:val="BodyText"/>
              <w:tabs>
                <w:tab w:val="left" w:pos="1555"/>
              </w:tabs>
              <w:spacing w:before="72"/>
              <w:ind w:left="0" w:right="1158" w:firstLine="0"/>
              <w:jc w:val="both"/>
              <w:rPr>
                <w:rFonts w:eastAsia="Times New Roman" w:cs="Arial"/>
                <w:b/>
                <w:sz w:val="20"/>
                <w:szCs w:val="20"/>
              </w:rPr>
            </w:pPr>
            <w:r>
              <w:rPr>
                <w:rFonts w:eastAsia="Times New Roman" w:cs="Arial"/>
                <w:b/>
                <w:sz w:val="20"/>
                <w:szCs w:val="20"/>
              </w:rPr>
              <w:t>CIR 14.4.5</w:t>
            </w:r>
          </w:p>
        </w:tc>
      </w:tr>
      <w:tr w:rsidR="00ED4BDD" w:rsidTr="00CD3639">
        <w:tc>
          <w:tcPr>
            <w:tcW w:w="9322" w:type="dxa"/>
            <w:gridSpan w:val="3"/>
          </w:tcPr>
          <w:p w:rsidR="00ED4BDD" w:rsidRDefault="00ED4BDD" w:rsidP="00ED4BDD">
            <w:pPr>
              <w:pStyle w:val="BodyText"/>
              <w:tabs>
                <w:tab w:val="left" w:pos="1555"/>
              </w:tabs>
              <w:spacing w:before="72"/>
              <w:ind w:left="0" w:right="1158" w:firstLine="0"/>
              <w:jc w:val="both"/>
              <w:rPr>
                <w:rFonts w:eastAsia="Times New Roman" w:cs="Arial"/>
                <w:b/>
                <w:sz w:val="20"/>
                <w:szCs w:val="20"/>
              </w:rPr>
            </w:pPr>
            <w:r w:rsidRPr="00B06DBD">
              <w:rPr>
                <w:rFonts w:asciiTheme="minorBidi" w:eastAsiaTheme="minorHAnsi" w:hAnsiTheme="minorBidi"/>
                <w:sz w:val="20"/>
                <w:lang w:val="en-GB"/>
              </w:rPr>
              <w:t>If a Fund</w:t>
            </w:r>
            <w:r>
              <w:rPr>
                <w:rFonts w:asciiTheme="minorBidi" w:eastAsiaTheme="minorHAnsi" w:hAnsiTheme="minorBidi"/>
                <w:sz w:val="20"/>
                <w:lang w:val="en-GB"/>
              </w:rPr>
              <w:t xml:space="preserve"> is a Private Equity Fund, the Fund Manager must provide the following in the Fund’s Prospectus:</w:t>
            </w:r>
          </w:p>
        </w:tc>
      </w:tr>
      <w:tr w:rsidR="00ED4BDD" w:rsidTr="004E04A0">
        <w:tc>
          <w:tcPr>
            <w:tcW w:w="5211" w:type="dxa"/>
          </w:tcPr>
          <w:p w:rsidR="00ED4BDD" w:rsidRPr="00B06DBD" w:rsidRDefault="00ED4BDD" w:rsidP="00ED4BDD">
            <w:pPr>
              <w:pStyle w:val="BodyText"/>
              <w:numPr>
                <w:ilvl w:val="0"/>
                <w:numId w:val="9"/>
              </w:numPr>
              <w:tabs>
                <w:tab w:val="left" w:pos="1555"/>
              </w:tabs>
              <w:spacing w:before="72"/>
              <w:ind w:right="1158" w:hanging="549"/>
              <w:jc w:val="both"/>
              <w:rPr>
                <w:rFonts w:eastAsia="Times New Roman" w:cs="Arial"/>
                <w:b/>
                <w:sz w:val="20"/>
                <w:szCs w:val="20"/>
                <w:lang w:val="en-GB"/>
              </w:rPr>
            </w:pPr>
            <w:r w:rsidRPr="00B06DBD">
              <w:rPr>
                <w:rFonts w:asciiTheme="minorBidi" w:eastAsiaTheme="minorHAnsi" w:hAnsiTheme="minorBidi"/>
                <w:sz w:val="20"/>
                <w:lang w:val="en-GB"/>
              </w:rPr>
              <w:t>a description of the arrangements in place for the safekeeping of monies raised from Unitholders but not yet invested in the proposed undertaking or venture; and</w:t>
            </w:r>
            <w:r>
              <w:rPr>
                <w:rFonts w:eastAsia="Times New Roman" w:cs="Arial"/>
                <w:b/>
                <w:sz w:val="20"/>
                <w:szCs w:val="20"/>
                <w:lang w:val="en-GB"/>
              </w:rPr>
              <w:t xml:space="preserve"> </w:t>
            </w:r>
          </w:p>
        </w:tc>
        <w:tc>
          <w:tcPr>
            <w:tcW w:w="2127" w:type="dxa"/>
          </w:tcPr>
          <w:p w:rsidR="00ED4BDD" w:rsidRDefault="00ED4BDD" w:rsidP="00ED4BDD">
            <w:pPr>
              <w:pStyle w:val="BodyText"/>
              <w:tabs>
                <w:tab w:val="left" w:pos="1555"/>
              </w:tabs>
              <w:spacing w:before="72"/>
              <w:ind w:left="0" w:right="1158" w:firstLine="0"/>
              <w:jc w:val="both"/>
              <w:rPr>
                <w:rFonts w:eastAsia="Times New Roman" w:cs="Arial"/>
                <w:b/>
                <w:sz w:val="20"/>
                <w:szCs w:val="20"/>
              </w:rPr>
            </w:pPr>
          </w:p>
        </w:tc>
        <w:tc>
          <w:tcPr>
            <w:tcW w:w="1984" w:type="dxa"/>
          </w:tcPr>
          <w:p w:rsidR="00ED4BDD" w:rsidRDefault="00ED4BDD" w:rsidP="00ED4BDD">
            <w:pPr>
              <w:pStyle w:val="BodyText"/>
              <w:tabs>
                <w:tab w:val="left" w:pos="1555"/>
              </w:tabs>
              <w:spacing w:before="72"/>
              <w:ind w:left="0" w:right="1158" w:firstLine="0"/>
              <w:jc w:val="both"/>
              <w:rPr>
                <w:rFonts w:eastAsia="Times New Roman" w:cs="Arial"/>
                <w:b/>
                <w:sz w:val="20"/>
                <w:szCs w:val="20"/>
              </w:rPr>
            </w:pPr>
          </w:p>
        </w:tc>
      </w:tr>
      <w:tr w:rsidR="00ED4BDD" w:rsidTr="004E04A0">
        <w:tc>
          <w:tcPr>
            <w:tcW w:w="5211" w:type="dxa"/>
          </w:tcPr>
          <w:p w:rsidR="00ED4BDD" w:rsidRPr="00B06DBD" w:rsidRDefault="00ED4BDD" w:rsidP="00ED4BDD">
            <w:pPr>
              <w:pStyle w:val="BodyText"/>
              <w:numPr>
                <w:ilvl w:val="0"/>
                <w:numId w:val="9"/>
              </w:numPr>
              <w:tabs>
                <w:tab w:val="left" w:pos="1555"/>
              </w:tabs>
              <w:spacing w:before="72"/>
              <w:ind w:right="1158" w:hanging="549"/>
              <w:jc w:val="both"/>
              <w:rPr>
                <w:rFonts w:eastAsia="Times New Roman" w:cs="Arial"/>
                <w:bCs/>
                <w:sz w:val="20"/>
                <w:szCs w:val="20"/>
              </w:rPr>
            </w:pPr>
            <w:r w:rsidRPr="00B06DBD">
              <w:rPr>
                <w:rFonts w:asciiTheme="minorBidi" w:eastAsiaTheme="minorHAnsi" w:hAnsiTheme="minorBidi"/>
                <w:sz w:val="20"/>
                <w:lang w:val="en-GB"/>
              </w:rPr>
              <w:t>a description of the exit arrangements for Unitholders</w:t>
            </w:r>
            <w:r w:rsidR="00417F0A">
              <w:rPr>
                <w:rFonts w:eastAsia="Times New Roman" w:cs="Arial"/>
                <w:bCs/>
                <w:sz w:val="20"/>
                <w:szCs w:val="20"/>
              </w:rPr>
              <w:t>.</w:t>
            </w:r>
          </w:p>
        </w:tc>
        <w:tc>
          <w:tcPr>
            <w:tcW w:w="2127" w:type="dxa"/>
          </w:tcPr>
          <w:p w:rsidR="00ED4BDD" w:rsidRDefault="00ED4BDD" w:rsidP="00ED4BDD">
            <w:pPr>
              <w:pStyle w:val="BodyText"/>
              <w:tabs>
                <w:tab w:val="left" w:pos="1555"/>
              </w:tabs>
              <w:spacing w:before="72"/>
              <w:ind w:left="0" w:right="1158" w:firstLine="0"/>
              <w:jc w:val="both"/>
              <w:rPr>
                <w:rFonts w:eastAsia="Times New Roman" w:cs="Arial"/>
                <w:b/>
                <w:sz w:val="20"/>
                <w:szCs w:val="20"/>
              </w:rPr>
            </w:pPr>
          </w:p>
        </w:tc>
        <w:tc>
          <w:tcPr>
            <w:tcW w:w="1984" w:type="dxa"/>
          </w:tcPr>
          <w:p w:rsidR="00ED4BDD" w:rsidRDefault="00ED4BDD" w:rsidP="00ED4BDD">
            <w:pPr>
              <w:pStyle w:val="BodyText"/>
              <w:tabs>
                <w:tab w:val="left" w:pos="1555"/>
              </w:tabs>
              <w:spacing w:before="72"/>
              <w:ind w:left="0" w:right="1158" w:firstLine="0"/>
              <w:jc w:val="both"/>
              <w:rPr>
                <w:rFonts w:eastAsia="Times New Roman" w:cs="Arial"/>
                <w:b/>
                <w:sz w:val="20"/>
                <w:szCs w:val="20"/>
              </w:rPr>
            </w:pPr>
          </w:p>
        </w:tc>
      </w:tr>
      <w:tr w:rsidR="00ED4BDD" w:rsidTr="009F578D">
        <w:tc>
          <w:tcPr>
            <w:tcW w:w="9322" w:type="dxa"/>
            <w:gridSpan w:val="3"/>
            <w:shd w:val="clear" w:color="auto" w:fill="BFBFBF" w:themeFill="background1" w:themeFillShade="BF"/>
          </w:tcPr>
          <w:p w:rsidR="00ED4BDD" w:rsidRDefault="00ED4BDD" w:rsidP="00E32921">
            <w:pPr>
              <w:pStyle w:val="BodyText"/>
              <w:tabs>
                <w:tab w:val="left" w:pos="1555"/>
              </w:tabs>
              <w:spacing w:before="72"/>
              <w:ind w:left="0" w:right="1158" w:firstLine="0"/>
              <w:jc w:val="both"/>
              <w:rPr>
                <w:rFonts w:eastAsia="Times New Roman" w:cs="Arial"/>
                <w:b/>
                <w:sz w:val="20"/>
                <w:szCs w:val="20"/>
              </w:rPr>
            </w:pPr>
            <w:r>
              <w:rPr>
                <w:rFonts w:eastAsia="Times New Roman" w:cs="Arial"/>
                <w:b/>
                <w:sz w:val="20"/>
                <w:szCs w:val="20"/>
              </w:rPr>
              <w:t>Prospectus for a Hedge Fund</w:t>
            </w:r>
          </w:p>
          <w:p w:rsidR="009F578D" w:rsidRDefault="009F578D" w:rsidP="00ED4BDD">
            <w:pPr>
              <w:pStyle w:val="BodyText"/>
              <w:tabs>
                <w:tab w:val="left" w:pos="1555"/>
              </w:tabs>
              <w:spacing w:before="72"/>
              <w:ind w:left="0" w:right="1158" w:firstLine="0"/>
              <w:jc w:val="both"/>
              <w:rPr>
                <w:rFonts w:eastAsia="Times New Roman" w:cs="Arial"/>
                <w:b/>
                <w:sz w:val="20"/>
                <w:szCs w:val="20"/>
              </w:rPr>
            </w:pPr>
          </w:p>
        </w:tc>
      </w:tr>
      <w:tr w:rsidR="00ED4BDD" w:rsidTr="00CD3639">
        <w:tc>
          <w:tcPr>
            <w:tcW w:w="9322" w:type="dxa"/>
            <w:gridSpan w:val="3"/>
          </w:tcPr>
          <w:p w:rsidR="00ED4BDD" w:rsidRDefault="00ED4BDD" w:rsidP="00ED4BDD">
            <w:pPr>
              <w:pStyle w:val="BodyText"/>
              <w:tabs>
                <w:tab w:val="left" w:pos="1555"/>
              </w:tabs>
              <w:spacing w:before="72"/>
              <w:ind w:left="0" w:right="1158" w:firstLine="0"/>
              <w:jc w:val="both"/>
              <w:rPr>
                <w:rFonts w:eastAsia="Times New Roman" w:cs="Arial"/>
                <w:b/>
                <w:sz w:val="20"/>
                <w:szCs w:val="20"/>
              </w:rPr>
            </w:pPr>
            <w:r>
              <w:rPr>
                <w:rFonts w:eastAsia="Times New Roman" w:cs="Arial"/>
                <w:b/>
                <w:sz w:val="20"/>
                <w:szCs w:val="20"/>
              </w:rPr>
              <w:t>CIR 14.4.6</w:t>
            </w:r>
          </w:p>
        </w:tc>
      </w:tr>
      <w:tr w:rsidR="00ED4BDD" w:rsidTr="00CD3639">
        <w:tc>
          <w:tcPr>
            <w:tcW w:w="9322" w:type="dxa"/>
            <w:gridSpan w:val="3"/>
          </w:tcPr>
          <w:p w:rsidR="00ED4BDD" w:rsidRDefault="00ED4BDD" w:rsidP="00ED4BDD">
            <w:pPr>
              <w:pStyle w:val="BodyText"/>
              <w:tabs>
                <w:tab w:val="left" w:pos="0"/>
              </w:tabs>
              <w:spacing w:line="241" w:lineRule="auto"/>
              <w:ind w:left="-34" w:right="1158" w:firstLine="0"/>
              <w:jc w:val="both"/>
              <w:rPr>
                <w:rFonts w:asciiTheme="minorBidi" w:eastAsiaTheme="minorHAnsi" w:hAnsiTheme="minorBidi"/>
                <w:sz w:val="20"/>
                <w:lang w:val="en-GB"/>
              </w:rPr>
            </w:pPr>
          </w:p>
          <w:p w:rsidR="00ED4BDD" w:rsidRPr="00956335" w:rsidRDefault="00ED4BDD" w:rsidP="00ED4BDD">
            <w:pPr>
              <w:pStyle w:val="BodyText"/>
              <w:tabs>
                <w:tab w:val="left" w:pos="0"/>
              </w:tabs>
              <w:spacing w:line="241" w:lineRule="auto"/>
              <w:ind w:left="-34" w:right="1158" w:firstLine="0"/>
              <w:jc w:val="both"/>
              <w:rPr>
                <w:rFonts w:asciiTheme="minorBidi" w:eastAsiaTheme="minorHAnsi" w:hAnsiTheme="minorBidi"/>
                <w:sz w:val="20"/>
                <w:lang w:val="en-GB"/>
              </w:rPr>
            </w:pPr>
            <w:r w:rsidRPr="00956335">
              <w:rPr>
                <w:rFonts w:asciiTheme="minorBidi" w:eastAsiaTheme="minorHAnsi" w:hAnsiTheme="minorBidi"/>
                <w:sz w:val="20"/>
                <w:lang w:val="en-GB"/>
              </w:rPr>
              <w:t>A Fund Manager of a Hedge Fund must prominently disclose to prospective Unitholders in the Prospectus and any other financial promotions relating to the Fund, the following Mandatory Hedge Fund Disclosure Statement:</w:t>
            </w:r>
          </w:p>
          <w:p w:rsidR="00ED4BDD" w:rsidRDefault="00ED4BDD" w:rsidP="00ED4BDD">
            <w:pPr>
              <w:pStyle w:val="BodyText"/>
              <w:tabs>
                <w:tab w:val="left" w:pos="0"/>
              </w:tabs>
              <w:ind w:left="0" w:right="1158" w:firstLine="0"/>
              <w:jc w:val="both"/>
              <w:rPr>
                <w:rFonts w:asciiTheme="minorBidi" w:eastAsiaTheme="minorHAnsi" w:hAnsiTheme="minorBidi"/>
                <w:sz w:val="20"/>
                <w:lang w:val="en-GB"/>
              </w:rPr>
            </w:pPr>
          </w:p>
          <w:p w:rsidR="00ED4BDD" w:rsidRPr="00956335" w:rsidRDefault="00ED4BDD" w:rsidP="00ED4BDD">
            <w:pPr>
              <w:pStyle w:val="BodyText"/>
              <w:tabs>
                <w:tab w:val="left" w:pos="0"/>
              </w:tabs>
              <w:ind w:left="0" w:right="1158" w:firstLine="0"/>
              <w:jc w:val="both"/>
              <w:rPr>
                <w:rFonts w:asciiTheme="minorBidi" w:eastAsiaTheme="minorHAnsi" w:hAnsiTheme="minorBidi"/>
                <w:sz w:val="20"/>
                <w:lang w:val="en-GB"/>
              </w:rPr>
            </w:pPr>
            <w:r w:rsidRPr="00956335">
              <w:rPr>
                <w:rFonts w:asciiTheme="minorBidi" w:eastAsiaTheme="minorHAnsi" w:hAnsiTheme="minorBidi"/>
                <w:sz w:val="20"/>
                <w:lang w:val="en-GB"/>
              </w:rPr>
              <w:t>“When considering investment in a Hedge Fund you should consider the fact that some Hedge Fund products use leverage and other speculative investment practices that may increase the risk of investment loss, can be illiquid, may involve complex tax structures, often charge high fees, and in many cases the underlying investments are not transparent and are known only to the Hedge Fund Investment Manager.</w:t>
            </w:r>
          </w:p>
          <w:p w:rsidR="00ED4BDD" w:rsidRPr="00956335" w:rsidRDefault="00ED4BDD" w:rsidP="00ED4BDD">
            <w:pPr>
              <w:tabs>
                <w:tab w:val="left" w:pos="0"/>
              </w:tabs>
              <w:ind w:hanging="2379"/>
            </w:pPr>
          </w:p>
          <w:p w:rsidR="00ED4BDD" w:rsidRPr="00623A2B" w:rsidRDefault="00ED4BDD" w:rsidP="00ED4BDD">
            <w:pPr>
              <w:pStyle w:val="BodyText"/>
              <w:tabs>
                <w:tab w:val="left" w:pos="0"/>
              </w:tabs>
              <w:ind w:left="0" w:right="1158" w:firstLine="0"/>
              <w:jc w:val="both"/>
              <w:rPr>
                <w:rFonts w:asciiTheme="minorBidi" w:eastAsiaTheme="minorHAnsi" w:hAnsiTheme="minorBidi"/>
                <w:sz w:val="20"/>
                <w:lang w:val="en-GB"/>
              </w:rPr>
            </w:pPr>
            <w:r w:rsidRPr="00956335">
              <w:rPr>
                <w:rFonts w:asciiTheme="minorBidi" w:eastAsiaTheme="minorHAnsi" w:hAnsiTheme="minorBidi"/>
                <w:sz w:val="20"/>
                <w:lang w:val="en-GB"/>
              </w:rPr>
              <w:t>Returns from Hedge Funds can be volatile and you may lose all or part of your investment. With respect to single manager products the manager has total trading authority and this could mean a lack of diversification and higher risk. The Hedge Fund may be subject to substantial expenses that are generally offset by trading profits and other income. A portion of those fees is paid to the Hedge Fund Manager.”</w:t>
            </w:r>
          </w:p>
        </w:tc>
      </w:tr>
      <w:tr w:rsidR="00ED4BDD" w:rsidTr="009F578D">
        <w:tc>
          <w:tcPr>
            <w:tcW w:w="9322" w:type="dxa"/>
            <w:gridSpan w:val="3"/>
            <w:shd w:val="clear" w:color="auto" w:fill="BFBFBF" w:themeFill="background1" w:themeFillShade="BF"/>
          </w:tcPr>
          <w:p w:rsidR="00ED4BDD" w:rsidRDefault="00ED4BDD" w:rsidP="00ED4BDD">
            <w:pPr>
              <w:pStyle w:val="BodyText"/>
              <w:tabs>
                <w:tab w:val="left" w:pos="0"/>
              </w:tabs>
              <w:spacing w:line="241" w:lineRule="auto"/>
              <w:ind w:left="-34" w:right="1158" w:firstLine="0"/>
              <w:jc w:val="both"/>
              <w:rPr>
                <w:rFonts w:asciiTheme="minorBidi" w:eastAsiaTheme="minorHAnsi" w:hAnsiTheme="minorBidi"/>
                <w:sz w:val="20"/>
                <w:lang w:val="en-GB"/>
              </w:rPr>
            </w:pPr>
            <w:r w:rsidRPr="00623A2B">
              <w:rPr>
                <w:rFonts w:eastAsia="Times New Roman" w:cs="Arial"/>
                <w:b/>
                <w:sz w:val="20"/>
                <w:szCs w:val="20"/>
              </w:rPr>
              <w:t>Prospectus for a Money Market Fund</w:t>
            </w:r>
            <w:r>
              <w:rPr>
                <w:rFonts w:asciiTheme="minorBidi" w:eastAsiaTheme="minorHAnsi" w:hAnsiTheme="minorBidi"/>
                <w:sz w:val="20"/>
                <w:lang w:val="en-GB"/>
              </w:rPr>
              <w:t xml:space="preserve"> </w:t>
            </w:r>
          </w:p>
          <w:p w:rsidR="009F578D" w:rsidRDefault="009F578D" w:rsidP="00ED4BDD">
            <w:pPr>
              <w:pStyle w:val="BodyText"/>
              <w:tabs>
                <w:tab w:val="left" w:pos="0"/>
              </w:tabs>
              <w:spacing w:line="241" w:lineRule="auto"/>
              <w:ind w:left="-34" w:right="1158" w:firstLine="0"/>
              <w:jc w:val="both"/>
              <w:rPr>
                <w:rFonts w:asciiTheme="minorBidi" w:eastAsiaTheme="minorHAnsi" w:hAnsiTheme="minorBidi"/>
                <w:sz w:val="20"/>
                <w:lang w:val="en-GB"/>
              </w:rPr>
            </w:pPr>
          </w:p>
        </w:tc>
      </w:tr>
      <w:tr w:rsidR="00ED4BDD" w:rsidTr="00CD3639">
        <w:tc>
          <w:tcPr>
            <w:tcW w:w="9322" w:type="dxa"/>
            <w:gridSpan w:val="3"/>
          </w:tcPr>
          <w:p w:rsidR="00ED4BDD" w:rsidRPr="00623A2B" w:rsidRDefault="00ED4BDD" w:rsidP="00ED4BDD">
            <w:pPr>
              <w:pStyle w:val="BodyText"/>
              <w:tabs>
                <w:tab w:val="left" w:pos="0"/>
              </w:tabs>
              <w:spacing w:line="241" w:lineRule="auto"/>
              <w:ind w:left="-34" w:right="1158" w:firstLine="0"/>
              <w:jc w:val="both"/>
              <w:rPr>
                <w:rFonts w:eastAsia="Times New Roman" w:cs="Arial"/>
                <w:b/>
                <w:sz w:val="20"/>
                <w:szCs w:val="20"/>
              </w:rPr>
            </w:pPr>
            <w:r>
              <w:rPr>
                <w:rFonts w:eastAsia="Times New Roman" w:cs="Arial"/>
                <w:b/>
                <w:sz w:val="20"/>
                <w:szCs w:val="20"/>
              </w:rPr>
              <w:t xml:space="preserve">CIR 14.4.7 </w:t>
            </w:r>
          </w:p>
        </w:tc>
      </w:tr>
      <w:tr w:rsidR="00ED4BDD" w:rsidTr="00CD3639">
        <w:tc>
          <w:tcPr>
            <w:tcW w:w="9322" w:type="dxa"/>
            <w:gridSpan w:val="3"/>
          </w:tcPr>
          <w:p w:rsidR="00ED4BDD" w:rsidRPr="00623A2B" w:rsidRDefault="00ED4BDD" w:rsidP="00ED4BDD">
            <w:pPr>
              <w:pStyle w:val="BodyText"/>
              <w:tabs>
                <w:tab w:val="left" w:pos="0"/>
              </w:tabs>
              <w:spacing w:line="241" w:lineRule="auto"/>
              <w:ind w:left="-34" w:right="1158" w:firstLine="0"/>
              <w:jc w:val="both"/>
              <w:rPr>
                <w:rFonts w:eastAsia="Times New Roman" w:cs="Arial"/>
                <w:bCs/>
                <w:sz w:val="20"/>
                <w:szCs w:val="20"/>
              </w:rPr>
            </w:pPr>
            <w:r>
              <w:rPr>
                <w:rFonts w:eastAsia="Times New Roman" w:cs="Arial"/>
                <w:bCs/>
                <w:sz w:val="20"/>
                <w:szCs w:val="20"/>
              </w:rPr>
              <w:t>A Fund Manager of a Money Market Fund that is a Public Fund must ensure that the Fund’s Prospectus includes a prominent warning:</w:t>
            </w:r>
          </w:p>
        </w:tc>
      </w:tr>
      <w:tr w:rsidR="00ED4BDD" w:rsidTr="00847327">
        <w:tc>
          <w:tcPr>
            <w:tcW w:w="5211" w:type="dxa"/>
          </w:tcPr>
          <w:p w:rsidR="00ED4BDD" w:rsidRDefault="00ED4BDD" w:rsidP="00ED4BDD">
            <w:pPr>
              <w:pStyle w:val="BodyText"/>
              <w:numPr>
                <w:ilvl w:val="0"/>
                <w:numId w:val="10"/>
              </w:numPr>
              <w:tabs>
                <w:tab w:val="left" w:pos="0"/>
              </w:tabs>
              <w:spacing w:line="241" w:lineRule="auto"/>
              <w:ind w:right="1158"/>
              <w:jc w:val="both"/>
              <w:rPr>
                <w:rFonts w:eastAsia="Times New Roman" w:cs="Arial"/>
                <w:bCs/>
                <w:sz w:val="20"/>
                <w:szCs w:val="20"/>
              </w:rPr>
            </w:pPr>
            <w:r>
              <w:rPr>
                <w:rFonts w:eastAsia="Times New Roman" w:cs="Arial"/>
                <w:bCs/>
                <w:sz w:val="20"/>
                <w:szCs w:val="20"/>
              </w:rPr>
              <w:t>drawing to the attention of investors the different nature of a Unit in a Money Market Fund compared to a Deposit;</w:t>
            </w:r>
          </w:p>
        </w:tc>
        <w:tc>
          <w:tcPr>
            <w:tcW w:w="2127" w:type="dxa"/>
          </w:tcPr>
          <w:p w:rsidR="00ED4BDD" w:rsidRDefault="00ED4BDD" w:rsidP="00ED4BDD">
            <w:pPr>
              <w:pStyle w:val="BodyText"/>
              <w:tabs>
                <w:tab w:val="left" w:pos="0"/>
              </w:tabs>
              <w:spacing w:line="241" w:lineRule="auto"/>
              <w:ind w:left="-34" w:right="1158" w:firstLine="0"/>
              <w:jc w:val="both"/>
              <w:rPr>
                <w:rFonts w:eastAsia="Times New Roman" w:cs="Arial"/>
                <w:bCs/>
                <w:sz w:val="20"/>
                <w:szCs w:val="20"/>
              </w:rPr>
            </w:pPr>
          </w:p>
        </w:tc>
        <w:tc>
          <w:tcPr>
            <w:tcW w:w="1984" w:type="dxa"/>
          </w:tcPr>
          <w:p w:rsidR="00ED4BDD" w:rsidRDefault="00ED4BDD" w:rsidP="00ED4BDD">
            <w:pPr>
              <w:pStyle w:val="BodyText"/>
              <w:tabs>
                <w:tab w:val="left" w:pos="0"/>
              </w:tabs>
              <w:spacing w:line="241" w:lineRule="auto"/>
              <w:ind w:left="-34" w:right="1158" w:firstLine="0"/>
              <w:jc w:val="both"/>
              <w:rPr>
                <w:rFonts w:eastAsia="Times New Roman" w:cs="Arial"/>
                <w:bCs/>
                <w:sz w:val="20"/>
                <w:szCs w:val="20"/>
              </w:rPr>
            </w:pPr>
          </w:p>
        </w:tc>
      </w:tr>
      <w:tr w:rsidR="00ED4BDD" w:rsidTr="00847327">
        <w:tc>
          <w:tcPr>
            <w:tcW w:w="5211" w:type="dxa"/>
          </w:tcPr>
          <w:p w:rsidR="00ED4BDD" w:rsidRPr="00623A2B" w:rsidRDefault="00ED4BDD" w:rsidP="00ED4BDD">
            <w:pPr>
              <w:pStyle w:val="BodyText"/>
              <w:numPr>
                <w:ilvl w:val="0"/>
                <w:numId w:val="10"/>
              </w:numPr>
              <w:tabs>
                <w:tab w:val="left" w:pos="0"/>
              </w:tabs>
              <w:spacing w:line="241" w:lineRule="auto"/>
              <w:ind w:right="1158"/>
              <w:jc w:val="both"/>
              <w:rPr>
                <w:rFonts w:eastAsia="Times New Roman" w:cs="Arial"/>
                <w:bCs/>
                <w:sz w:val="20"/>
                <w:szCs w:val="20"/>
                <w:lang w:val="en-GB"/>
              </w:rPr>
            </w:pPr>
            <w:r>
              <w:rPr>
                <w:rFonts w:eastAsia="Times New Roman" w:cs="Arial"/>
                <w:bCs/>
                <w:sz w:val="20"/>
                <w:szCs w:val="20"/>
                <w:lang w:val="en-GB"/>
              </w:rPr>
              <w:t xml:space="preserve">that the capital of an investment in a Money Market Fund is not guaranteed; and </w:t>
            </w:r>
          </w:p>
        </w:tc>
        <w:tc>
          <w:tcPr>
            <w:tcW w:w="2127" w:type="dxa"/>
          </w:tcPr>
          <w:p w:rsidR="00ED4BDD" w:rsidRPr="00623A2B" w:rsidRDefault="00ED4BDD" w:rsidP="00ED4BDD">
            <w:pPr>
              <w:pStyle w:val="BodyText"/>
              <w:tabs>
                <w:tab w:val="left" w:pos="0"/>
              </w:tabs>
              <w:spacing w:line="241" w:lineRule="auto"/>
              <w:ind w:left="-34" w:right="1158" w:firstLine="0"/>
              <w:jc w:val="both"/>
              <w:rPr>
                <w:rFonts w:eastAsia="Times New Roman" w:cs="Arial"/>
                <w:bCs/>
                <w:sz w:val="20"/>
                <w:szCs w:val="20"/>
                <w:lang w:val="en-GB"/>
              </w:rPr>
            </w:pPr>
          </w:p>
        </w:tc>
        <w:tc>
          <w:tcPr>
            <w:tcW w:w="1984" w:type="dxa"/>
          </w:tcPr>
          <w:p w:rsidR="00ED4BDD" w:rsidRPr="00623A2B" w:rsidRDefault="00ED4BDD" w:rsidP="00ED4BDD">
            <w:pPr>
              <w:pStyle w:val="BodyText"/>
              <w:tabs>
                <w:tab w:val="left" w:pos="0"/>
              </w:tabs>
              <w:spacing w:line="241" w:lineRule="auto"/>
              <w:ind w:left="-34" w:right="1158" w:firstLine="0"/>
              <w:jc w:val="both"/>
              <w:rPr>
                <w:rFonts w:eastAsia="Times New Roman" w:cs="Arial"/>
                <w:bCs/>
                <w:sz w:val="20"/>
                <w:szCs w:val="20"/>
                <w:lang w:val="en-GB"/>
              </w:rPr>
            </w:pPr>
          </w:p>
        </w:tc>
      </w:tr>
      <w:tr w:rsidR="00ED4BDD" w:rsidTr="00847327">
        <w:tc>
          <w:tcPr>
            <w:tcW w:w="5211" w:type="dxa"/>
          </w:tcPr>
          <w:p w:rsidR="00ED4BDD" w:rsidRPr="00623A2B" w:rsidRDefault="00ED4BDD" w:rsidP="00ED4BDD">
            <w:pPr>
              <w:pStyle w:val="BodyText"/>
              <w:numPr>
                <w:ilvl w:val="0"/>
                <w:numId w:val="10"/>
              </w:numPr>
              <w:tabs>
                <w:tab w:val="left" w:pos="0"/>
              </w:tabs>
              <w:spacing w:line="241" w:lineRule="auto"/>
              <w:ind w:right="1158"/>
              <w:jc w:val="both"/>
              <w:rPr>
                <w:rFonts w:eastAsia="Times New Roman" w:cs="Arial"/>
                <w:bCs/>
                <w:sz w:val="20"/>
                <w:szCs w:val="20"/>
                <w:lang w:val="en-GB"/>
              </w:rPr>
            </w:pPr>
            <w:r>
              <w:rPr>
                <w:rFonts w:eastAsia="Times New Roman" w:cs="Arial"/>
                <w:bCs/>
                <w:sz w:val="20"/>
                <w:szCs w:val="20"/>
                <w:lang w:val="en-GB"/>
              </w:rPr>
              <w:t xml:space="preserve">that the value of units in the Money Market Fund may fluctuate. </w:t>
            </w:r>
          </w:p>
        </w:tc>
        <w:tc>
          <w:tcPr>
            <w:tcW w:w="2127" w:type="dxa"/>
          </w:tcPr>
          <w:p w:rsidR="00ED4BDD" w:rsidRPr="00623A2B" w:rsidRDefault="00ED4BDD" w:rsidP="00ED4BDD">
            <w:pPr>
              <w:pStyle w:val="BodyText"/>
              <w:tabs>
                <w:tab w:val="left" w:pos="0"/>
              </w:tabs>
              <w:spacing w:line="241" w:lineRule="auto"/>
              <w:ind w:left="-34" w:right="1158" w:firstLine="0"/>
              <w:jc w:val="both"/>
              <w:rPr>
                <w:rFonts w:eastAsia="Times New Roman" w:cs="Arial"/>
                <w:bCs/>
                <w:sz w:val="20"/>
                <w:szCs w:val="20"/>
                <w:lang w:val="en-GB"/>
              </w:rPr>
            </w:pPr>
          </w:p>
        </w:tc>
        <w:tc>
          <w:tcPr>
            <w:tcW w:w="1984" w:type="dxa"/>
          </w:tcPr>
          <w:p w:rsidR="00ED4BDD" w:rsidRPr="00623A2B" w:rsidRDefault="00ED4BDD" w:rsidP="00ED4BDD">
            <w:pPr>
              <w:pStyle w:val="BodyText"/>
              <w:tabs>
                <w:tab w:val="left" w:pos="0"/>
              </w:tabs>
              <w:spacing w:line="241" w:lineRule="auto"/>
              <w:ind w:left="-34" w:right="1158" w:firstLine="0"/>
              <w:jc w:val="both"/>
              <w:rPr>
                <w:rFonts w:eastAsia="Times New Roman" w:cs="Arial"/>
                <w:bCs/>
                <w:sz w:val="20"/>
                <w:szCs w:val="20"/>
                <w:lang w:val="en-GB"/>
              </w:rPr>
            </w:pPr>
          </w:p>
        </w:tc>
      </w:tr>
      <w:tr w:rsidR="00ED4BDD" w:rsidTr="00AB6DB4">
        <w:tc>
          <w:tcPr>
            <w:tcW w:w="9322" w:type="dxa"/>
            <w:gridSpan w:val="3"/>
            <w:shd w:val="clear" w:color="auto" w:fill="BFBFBF" w:themeFill="background1" w:themeFillShade="BF"/>
          </w:tcPr>
          <w:p w:rsidR="00ED4BDD" w:rsidRDefault="00ED4BDD" w:rsidP="00ED4BDD">
            <w:pPr>
              <w:rPr>
                <w:rFonts w:ascii="Arial" w:eastAsia="Times New Roman" w:hAnsi="Arial" w:cs="Arial"/>
                <w:szCs w:val="20"/>
                <w:lang w:val="en-US"/>
              </w:rPr>
            </w:pPr>
            <w:r>
              <w:rPr>
                <w:rFonts w:ascii="Arial" w:eastAsia="Times New Roman" w:hAnsi="Arial" w:cs="Arial"/>
                <w:b/>
                <w:szCs w:val="20"/>
                <w:lang w:val="en-US"/>
              </w:rPr>
              <w:t xml:space="preserve">Additional disclosure in a Prospectus of an Islamic Fund which is a Public Fund </w:t>
            </w:r>
          </w:p>
        </w:tc>
      </w:tr>
      <w:tr w:rsidR="00ED4BDD">
        <w:tc>
          <w:tcPr>
            <w:tcW w:w="9322" w:type="dxa"/>
            <w:gridSpan w:val="3"/>
          </w:tcPr>
          <w:p w:rsidR="00ED4BDD" w:rsidRDefault="00ED4BDD" w:rsidP="00ED4BDD">
            <w:pPr>
              <w:rPr>
                <w:rFonts w:ascii="Arial" w:eastAsia="Times New Roman" w:hAnsi="Arial" w:cs="Arial"/>
                <w:szCs w:val="20"/>
                <w:lang w:val="en-US"/>
              </w:rPr>
            </w:pPr>
            <w:r>
              <w:rPr>
                <w:rFonts w:ascii="Arial" w:eastAsia="Times New Roman" w:hAnsi="Arial" w:cs="Arial"/>
                <w:b/>
                <w:szCs w:val="20"/>
                <w:lang w:val="en-US"/>
              </w:rPr>
              <w:t>IFR 6.5.1</w:t>
            </w:r>
          </w:p>
        </w:tc>
      </w:tr>
      <w:tr w:rsidR="00ED4BDD">
        <w:tc>
          <w:tcPr>
            <w:tcW w:w="9322" w:type="dxa"/>
            <w:gridSpan w:val="3"/>
          </w:tcPr>
          <w:p w:rsidR="00ED4BDD" w:rsidRDefault="00ED4BDD" w:rsidP="00ED4BDD">
            <w:pPr>
              <w:rPr>
                <w:rFonts w:ascii="Arial" w:eastAsia="Times New Roman" w:hAnsi="Arial" w:cs="Arial"/>
                <w:szCs w:val="20"/>
                <w:lang w:val="en-US"/>
              </w:rPr>
            </w:pPr>
            <w:r>
              <w:t>A Fund Manager of an Islamic Fund which is a Public Fund must state in the Fund’s Prospectus:</w:t>
            </w:r>
          </w:p>
        </w:tc>
      </w:tr>
      <w:tr w:rsidR="00ED4BDD">
        <w:tc>
          <w:tcPr>
            <w:tcW w:w="5211" w:type="dxa"/>
          </w:tcPr>
          <w:p w:rsidR="00ED4BDD" w:rsidRDefault="00ED4BDD" w:rsidP="00ED4BDD">
            <w:pPr>
              <w:tabs>
                <w:tab w:val="left" w:pos="567"/>
                <w:tab w:val="left" w:pos="2520"/>
              </w:tabs>
              <w:ind w:left="567" w:hanging="425"/>
              <w:jc w:val="both"/>
            </w:pPr>
            <w:r>
              <w:t>(a)</w:t>
            </w:r>
            <w:r>
              <w:tab/>
              <w:t>that all the operations in relation to the Fund will be conducted in accordance with Shari’a;</w:t>
            </w:r>
          </w:p>
        </w:tc>
        <w:tc>
          <w:tcPr>
            <w:tcW w:w="2127" w:type="dxa"/>
          </w:tcPr>
          <w:p w:rsidR="00ED4BDD" w:rsidRDefault="00ED4BDD" w:rsidP="00ED4BDD"/>
        </w:tc>
        <w:tc>
          <w:tcPr>
            <w:tcW w:w="1984" w:type="dxa"/>
          </w:tcPr>
          <w:p w:rsidR="00ED4BDD" w:rsidRDefault="00ED4BDD" w:rsidP="00ED4BDD"/>
        </w:tc>
      </w:tr>
      <w:tr w:rsidR="00ED4BDD">
        <w:tc>
          <w:tcPr>
            <w:tcW w:w="5211" w:type="dxa"/>
          </w:tcPr>
          <w:p w:rsidR="00ED4BDD" w:rsidRDefault="00ED4BDD" w:rsidP="00ED4BDD">
            <w:pPr>
              <w:tabs>
                <w:tab w:val="left" w:pos="567"/>
                <w:tab w:val="left" w:pos="2520"/>
              </w:tabs>
              <w:ind w:left="567" w:hanging="425"/>
              <w:jc w:val="both"/>
            </w:pPr>
            <w:r>
              <w:t>(b)</w:t>
            </w:r>
            <w:r>
              <w:tab/>
              <w:t xml:space="preserve">if the Fund has a Shari’a Supervisory Board appointed to it, the names of the members of the Shari’a Supervisory Board and their qualifications and experience and, whether or not the Fund Manager’s Shari’a Supervisory Board is appointed to the Fund pursuant to </w:t>
            </w:r>
            <w:r w:rsidR="00646993">
              <w:t xml:space="preserve">IFR </w:t>
            </w:r>
            <w:r>
              <w:t>Rule 6.2.1(2);</w:t>
            </w:r>
          </w:p>
        </w:tc>
        <w:tc>
          <w:tcPr>
            <w:tcW w:w="2127" w:type="dxa"/>
          </w:tcPr>
          <w:p w:rsidR="00ED4BDD" w:rsidRDefault="00ED4BDD" w:rsidP="00ED4BDD"/>
        </w:tc>
        <w:tc>
          <w:tcPr>
            <w:tcW w:w="1984" w:type="dxa"/>
          </w:tcPr>
          <w:p w:rsidR="00ED4BDD" w:rsidRDefault="00ED4BDD" w:rsidP="00ED4BDD"/>
        </w:tc>
      </w:tr>
      <w:tr w:rsidR="00ED4BDD">
        <w:tc>
          <w:tcPr>
            <w:tcW w:w="5211" w:type="dxa"/>
          </w:tcPr>
          <w:p w:rsidR="00ED4BDD" w:rsidRDefault="00ED4BDD" w:rsidP="00ED4BDD">
            <w:pPr>
              <w:tabs>
                <w:tab w:val="left" w:pos="567"/>
                <w:tab w:val="left" w:pos="2520"/>
              </w:tabs>
              <w:ind w:left="567" w:hanging="425"/>
              <w:jc w:val="both"/>
            </w:pPr>
            <w:r>
              <w:t>(c)</w:t>
            </w:r>
            <w:r>
              <w:tab/>
              <w:t xml:space="preserve">if the Fund does not have a Shari’a Supervisory Board appointed to it pursuant to </w:t>
            </w:r>
            <w:r w:rsidR="00646993">
              <w:t xml:space="preserve">IFR </w:t>
            </w:r>
            <w:r>
              <w:t xml:space="preserve">Rule 6.2.1(3), what widely acceptable screening methodologies are used by the Fund to ensure Shari’a compliance with respect to investments made for the Fund, and the board that has approved them; </w:t>
            </w:r>
          </w:p>
        </w:tc>
        <w:tc>
          <w:tcPr>
            <w:tcW w:w="2127" w:type="dxa"/>
          </w:tcPr>
          <w:p w:rsidR="00ED4BDD" w:rsidRDefault="00ED4BDD" w:rsidP="00ED4BDD"/>
        </w:tc>
        <w:tc>
          <w:tcPr>
            <w:tcW w:w="1984" w:type="dxa"/>
          </w:tcPr>
          <w:p w:rsidR="00ED4BDD" w:rsidRDefault="00ED4BDD" w:rsidP="00ED4BDD"/>
        </w:tc>
      </w:tr>
      <w:tr w:rsidR="00ED4BDD">
        <w:tc>
          <w:tcPr>
            <w:tcW w:w="5211" w:type="dxa"/>
          </w:tcPr>
          <w:p w:rsidR="00ED4BDD" w:rsidRDefault="00ED4BDD">
            <w:pPr>
              <w:tabs>
                <w:tab w:val="left" w:pos="567"/>
                <w:tab w:val="left" w:pos="2520"/>
              </w:tabs>
              <w:ind w:left="567" w:hanging="425"/>
              <w:jc w:val="both"/>
            </w:pPr>
            <w:r>
              <w:t>(d)</w:t>
            </w:r>
            <w:r>
              <w:tab/>
              <w:t>if applicable, the manner and frequency of Shari’a reviews;</w:t>
            </w:r>
          </w:p>
        </w:tc>
        <w:tc>
          <w:tcPr>
            <w:tcW w:w="2127" w:type="dxa"/>
          </w:tcPr>
          <w:p w:rsidR="00ED4BDD" w:rsidRDefault="00ED4BDD" w:rsidP="00ED4BDD"/>
        </w:tc>
        <w:tc>
          <w:tcPr>
            <w:tcW w:w="1984" w:type="dxa"/>
          </w:tcPr>
          <w:p w:rsidR="00ED4BDD" w:rsidRDefault="00ED4BDD" w:rsidP="00ED4BDD"/>
        </w:tc>
      </w:tr>
      <w:tr w:rsidR="00ED4BDD">
        <w:tc>
          <w:tcPr>
            <w:tcW w:w="5211" w:type="dxa"/>
          </w:tcPr>
          <w:p w:rsidR="00ED4BDD" w:rsidRDefault="00ED4BDD" w:rsidP="00ED4BDD">
            <w:pPr>
              <w:tabs>
                <w:tab w:val="left" w:pos="567"/>
                <w:tab w:val="left" w:pos="2520"/>
              </w:tabs>
              <w:ind w:left="567" w:hanging="425"/>
              <w:jc w:val="both"/>
            </w:pPr>
            <w:r>
              <w:t>(e)</w:t>
            </w:r>
            <w:r>
              <w:tab/>
              <w:t xml:space="preserve">how earnings prohibited by Shari’a will be disposed of; </w:t>
            </w:r>
          </w:p>
        </w:tc>
        <w:tc>
          <w:tcPr>
            <w:tcW w:w="2127" w:type="dxa"/>
          </w:tcPr>
          <w:p w:rsidR="00ED4BDD" w:rsidRDefault="00ED4BDD" w:rsidP="00ED4BDD"/>
        </w:tc>
        <w:tc>
          <w:tcPr>
            <w:tcW w:w="1984" w:type="dxa"/>
          </w:tcPr>
          <w:p w:rsidR="00ED4BDD" w:rsidRDefault="00ED4BDD" w:rsidP="00ED4BDD"/>
        </w:tc>
      </w:tr>
      <w:tr w:rsidR="00ED4BDD">
        <w:tc>
          <w:tcPr>
            <w:tcW w:w="5211" w:type="dxa"/>
          </w:tcPr>
          <w:p w:rsidR="00ED4BDD" w:rsidRDefault="00ED4BDD" w:rsidP="00ED4BDD">
            <w:pPr>
              <w:tabs>
                <w:tab w:val="left" w:pos="567"/>
                <w:tab w:val="left" w:pos="2520"/>
              </w:tabs>
              <w:ind w:left="567" w:hanging="425"/>
              <w:jc w:val="both"/>
            </w:pPr>
            <w:r>
              <w:t>(f)</w:t>
            </w:r>
            <w:r>
              <w:tab/>
              <w:t xml:space="preserve">whether Zakah is the responsibility of the Fund or the responsibility of the Unitholders; and </w:t>
            </w:r>
          </w:p>
        </w:tc>
        <w:tc>
          <w:tcPr>
            <w:tcW w:w="2127" w:type="dxa"/>
          </w:tcPr>
          <w:p w:rsidR="00ED4BDD" w:rsidRDefault="00ED4BDD" w:rsidP="00ED4BDD"/>
        </w:tc>
        <w:tc>
          <w:tcPr>
            <w:tcW w:w="1984" w:type="dxa"/>
          </w:tcPr>
          <w:p w:rsidR="00ED4BDD" w:rsidRDefault="00ED4BDD" w:rsidP="00ED4BDD">
            <w:r>
              <w:rPr>
                <w:rFonts w:ascii="Arial" w:eastAsia="Times New Roman" w:hAnsi="Arial" w:cs="Arial"/>
                <w:szCs w:val="20"/>
                <w:lang w:val="en-US"/>
              </w:rPr>
              <w:t xml:space="preserve"> </w:t>
            </w:r>
          </w:p>
        </w:tc>
      </w:tr>
      <w:tr w:rsidR="00ED4BDD">
        <w:tc>
          <w:tcPr>
            <w:tcW w:w="5211" w:type="dxa"/>
          </w:tcPr>
          <w:p w:rsidR="00ED4BDD" w:rsidRDefault="00ED4BDD" w:rsidP="00ED4BDD">
            <w:pPr>
              <w:tabs>
                <w:tab w:val="left" w:pos="567"/>
                <w:tab w:val="left" w:pos="2520"/>
              </w:tabs>
              <w:ind w:left="567" w:hanging="425"/>
              <w:jc w:val="both"/>
            </w:pPr>
            <w:r>
              <w:t>(g)</w:t>
            </w:r>
            <w:r>
              <w:tab/>
              <w:t xml:space="preserve">the additional disclosure, if applicable, prescribed under section </w:t>
            </w:r>
            <w:r w:rsidR="008E26B3">
              <w:t xml:space="preserve">IFR </w:t>
            </w:r>
            <w:r>
              <w:t xml:space="preserve">A1.1 of App 1.  </w:t>
            </w:r>
          </w:p>
        </w:tc>
        <w:tc>
          <w:tcPr>
            <w:tcW w:w="2127" w:type="dxa"/>
          </w:tcPr>
          <w:p w:rsidR="00ED4BDD" w:rsidRDefault="00ED4BDD" w:rsidP="00ED4BDD"/>
        </w:tc>
        <w:tc>
          <w:tcPr>
            <w:tcW w:w="1984" w:type="dxa"/>
          </w:tcPr>
          <w:p w:rsidR="00ED4BDD" w:rsidRDefault="00ED4BDD" w:rsidP="00ED4BDD"/>
        </w:tc>
      </w:tr>
    </w:tbl>
    <w:p w:rsidR="00054858" w:rsidRDefault="00054858">
      <w:pPr>
        <w:spacing w:after="0" w:line="240" w:lineRule="auto"/>
        <w:rPr>
          <w:rFonts w:ascii="Arial" w:eastAsia="Times New Roman" w:hAnsi="Arial" w:cs="Times New Roman"/>
          <w:sz w:val="22"/>
          <w:lang w:val="en-US"/>
        </w:rPr>
      </w:pPr>
    </w:p>
    <w:p w:rsidR="00054858" w:rsidRDefault="00C3101D">
      <w:pPr>
        <w:spacing w:after="0" w:line="240" w:lineRule="auto"/>
        <w:rPr>
          <w:rFonts w:ascii="Arial" w:eastAsia="Times New Roman" w:hAnsi="Arial" w:cs="Arial"/>
          <w:b/>
          <w:bCs/>
          <w:color w:val="C00000"/>
          <w:sz w:val="22"/>
          <w:lang w:val="en-US"/>
        </w:rPr>
      </w:pPr>
      <w:r>
        <w:rPr>
          <w:rFonts w:ascii="Arial" w:eastAsia="Times New Roman" w:hAnsi="Arial" w:cs="Arial"/>
          <w:b/>
          <w:bCs/>
          <w:color w:val="C00000"/>
          <w:sz w:val="22"/>
          <w:lang w:val="en-US"/>
        </w:rPr>
        <w:t xml:space="preserve">Confirmation </w:t>
      </w:r>
      <w:r w:rsidR="00067F45">
        <w:rPr>
          <w:rFonts w:ascii="Arial" w:eastAsia="Times New Roman" w:hAnsi="Arial" w:cs="Arial"/>
          <w:b/>
          <w:bCs/>
          <w:color w:val="C00000"/>
          <w:sz w:val="22"/>
          <w:lang w:val="en-US"/>
        </w:rPr>
        <w:t>of non-applicable items</w:t>
      </w:r>
    </w:p>
    <w:p w:rsidR="00054858" w:rsidRDefault="00054858">
      <w:pPr>
        <w:spacing w:after="0" w:line="240" w:lineRule="auto"/>
        <w:rPr>
          <w:rFonts w:ascii="Arial" w:eastAsia="Times New Roman" w:hAnsi="Arial" w:cs="Times New Roman"/>
          <w:b/>
          <w:bCs/>
          <w:sz w:val="22"/>
          <w:lang w:val="en-US"/>
        </w:rPr>
      </w:pPr>
    </w:p>
    <w:p w:rsidR="00054858" w:rsidRDefault="00054858">
      <w:pPr>
        <w:spacing w:after="0" w:line="240" w:lineRule="auto"/>
        <w:rPr>
          <w:rFonts w:ascii="Arial" w:eastAsia="Times New Roman" w:hAnsi="Arial" w:cs="Times New Roman"/>
          <w:sz w:val="22"/>
          <w:lang w:val="en-US"/>
        </w:rPr>
      </w:pPr>
    </w:p>
    <w:p w:rsidR="00054858" w:rsidRDefault="00C3101D" w:rsidP="00E32921">
      <w:pPr>
        <w:spacing w:after="0" w:line="240" w:lineRule="auto"/>
        <w:rPr>
          <w:rFonts w:ascii="Arial" w:eastAsia="Times New Roman" w:hAnsi="Arial" w:cs="Times New Roman"/>
          <w:sz w:val="22"/>
          <w:lang w:val="en-US"/>
        </w:rPr>
      </w:pPr>
      <w:r>
        <w:rPr>
          <w:rFonts w:ascii="Arial" w:eastAsia="Times New Roman" w:hAnsi="Arial" w:cs="Times New Roman"/>
          <w:sz w:val="22"/>
          <w:lang w:val="en-US"/>
        </w:rPr>
        <w:t>We</w:t>
      </w:r>
      <w:r w:rsidR="00067F45">
        <w:rPr>
          <w:rFonts w:ascii="Arial" w:eastAsia="Times New Roman" w:hAnsi="Arial" w:cs="Times New Roman"/>
          <w:sz w:val="22"/>
          <w:lang w:val="en-US"/>
        </w:rPr>
        <w:t xml:space="preserve"> confirm we have given due and careful consideration to the items in his checklist and</w:t>
      </w:r>
      <w:r>
        <w:rPr>
          <w:rFonts w:ascii="Arial" w:eastAsia="Times New Roman" w:hAnsi="Arial" w:cs="Times New Roman"/>
          <w:sz w:val="22"/>
          <w:lang w:val="en-US"/>
        </w:rPr>
        <w:t xml:space="preserve"> inform you that items marked “N/A” in the Page Reference column of the above checklist are considered </w:t>
      </w:r>
      <w:r w:rsidR="00067F45">
        <w:rPr>
          <w:rFonts w:ascii="Arial" w:eastAsia="Times New Roman" w:hAnsi="Arial" w:cs="Times New Roman"/>
          <w:sz w:val="22"/>
          <w:lang w:val="en-US"/>
        </w:rPr>
        <w:t xml:space="preserve">by us as </w:t>
      </w:r>
      <w:r>
        <w:rPr>
          <w:rFonts w:ascii="Arial" w:eastAsia="Times New Roman" w:hAnsi="Arial" w:cs="Times New Roman"/>
          <w:sz w:val="22"/>
          <w:lang w:val="en-US"/>
        </w:rPr>
        <w:t>not applicable</w:t>
      </w:r>
      <w:r w:rsidR="00067F45">
        <w:rPr>
          <w:rFonts w:ascii="Arial" w:eastAsia="Times New Roman" w:hAnsi="Arial" w:cs="Times New Roman"/>
          <w:sz w:val="22"/>
          <w:lang w:val="en-US"/>
        </w:rPr>
        <w:t>. N</w:t>
      </w:r>
      <w:r>
        <w:rPr>
          <w:rFonts w:ascii="Arial" w:eastAsia="Times New Roman" w:hAnsi="Arial" w:cs="Times New Roman"/>
          <w:sz w:val="22"/>
          <w:lang w:val="en-US"/>
        </w:rPr>
        <w:t>o equivalent information is available in relation to the enclosed document</w:t>
      </w:r>
      <w:r w:rsidR="00067F45">
        <w:rPr>
          <w:rFonts w:ascii="Arial" w:eastAsia="Times New Roman" w:hAnsi="Arial" w:cs="Times New Roman"/>
          <w:sz w:val="22"/>
          <w:lang w:val="en-US"/>
        </w:rPr>
        <w:t xml:space="preserve"> for items marked “N/A”</w:t>
      </w:r>
      <w:r>
        <w:rPr>
          <w:rFonts w:ascii="Arial" w:eastAsia="Times New Roman" w:hAnsi="Arial" w:cs="Times New Roman"/>
          <w:sz w:val="22"/>
          <w:lang w:val="en-US"/>
        </w:rPr>
        <w:t>.</w:t>
      </w:r>
    </w:p>
    <w:p w:rsidR="00054858" w:rsidRDefault="00054858">
      <w:pPr>
        <w:spacing w:after="0" w:line="240" w:lineRule="auto"/>
        <w:rPr>
          <w:rFonts w:ascii="Arial" w:eastAsia="Times New Roman" w:hAnsi="Arial" w:cs="Times New Roman"/>
          <w:b/>
          <w:bCs/>
          <w:sz w:val="22"/>
          <w:lang w:val="en-US"/>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4252"/>
      </w:tblGrid>
      <w:tr w:rsidR="00054858">
        <w:trPr>
          <w:cantSplit/>
          <w:tblHeader/>
        </w:trPr>
        <w:tc>
          <w:tcPr>
            <w:tcW w:w="5104" w:type="dxa"/>
            <w:shd w:val="clear" w:color="auto" w:fill="FFFFFF"/>
            <w:tcMar>
              <w:top w:w="57" w:type="dxa"/>
            </w:tcMar>
          </w:tcPr>
          <w:p w:rsidR="00054858" w:rsidRDefault="00C3101D">
            <w:pPr>
              <w:spacing w:after="0" w:line="240" w:lineRule="auto"/>
              <w:rPr>
                <w:rFonts w:ascii="Arial" w:eastAsia="Times New Roman" w:hAnsi="Arial" w:cs="Times New Roman"/>
                <w:sz w:val="22"/>
              </w:rPr>
            </w:pPr>
            <w:r>
              <w:rPr>
                <w:rFonts w:ascii="Arial" w:eastAsia="Times New Roman" w:hAnsi="Arial" w:cs="Times New Roman"/>
                <w:sz w:val="22"/>
              </w:rPr>
              <w:t>Signed by</w:t>
            </w:r>
          </w:p>
          <w:p w:rsidR="00054858" w:rsidRDefault="00054858">
            <w:pPr>
              <w:spacing w:after="0" w:line="240" w:lineRule="auto"/>
              <w:rPr>
                <w:rFonts w:ascii="Arial" w:eastAsia="Times New Roman" w:hAnsi="Arial" w:cs="Times New Roman"/>
                <w:sz w:val="22"/>
              </w:rPr>
            </w:pPr>
          </w:p>
          <w:p w:rsidR="00054858" w:rsidRDefault="00054858">
            <w:pPr>
              <w:spacing w:after="0" w:line="240" w:lineRule="auto"/>
              <w:rPr>
                <w:rFonts w:ascii="Arial" w:eastAsia="Times New Roman" w:hAnsi="Arial" w:cs="Times New Roman"/>
                <w:sz w:val="22"/>
              </w:rPr>
            </w:pPr>
          </w:p>
        </w:tc>
        <w:tc>
          <w:tcPr>
            <w:tcW w:w="4252" w:type="dxa"/>
            <w:shd w:val="clear" w:color="auto" w:fill="FFFFFF"/>
            <w:tcMar>
              <w:top w:w="57" w:type="dxa"/>
            </w:tcMar>
          </w:tcPr>
          <w:p w:rsidR="00054858" w:rsidRDefault="00054858">
            <w:pPr>
              <w:spacing w:after="0" w:line="240" w:lineRule="auto"/>
              <w:rPr>
                <w:rFonts w:ascii="Arial" w:eastAsia="Times New Roman" w:hAnsi="Arial" w:cs="Times New Roman"/>
                <w:sz w:val="22"/>
              </w:rPr>
            </w:pPr>
          </w:p>
        </w:tc>
      </w:tr>
      <w:tr w:rsidR="00054858">
        <w:trPr>
          <w:cantSplit/>
          <w:tblHeader/>
        </w:trPr>
        <w:tc>
          <w:tcPr>
            <w:tcW w:w="5104" w:type="dxa"/>
            <w:shd w:val="clear" w:color="auto" w:fill="FFFFFF"/>
            <w:tcMar>
              <w:top w:w="57" w:type="dxa"/>
            </w:tcMar>
          </w:tcPr>
          <w:p w:rsidR="00054858" w:rsidRDefault="00C3101D">
            <w:pPr>
              <w:spacing w:after="0" w:line="240" w:lineRule="auto"/>
              <w:rPr>
                <w:rFonts w:ascii="Arial" w:eastAsia="Times New Roman" w:hAnsi="Arial" w:cs="Times New Roman"/>
                <w:sz w:val="22"/>
              </w:rPr>
            </w:pPr>
            <w:r>
              <w:rPr>
                <w:rFonts w:ascii="Arial" w:eastAsia="Times New Roman" w:hAnsi="Arial" w:cs="Times New Roman"/>
                <w:sz w:val="22"/>
              </w:rPr>
              <w:t>On behalf of</w:t>
            </w:r>
          </w:p>
          <w:p w:rsidR="00054858" w:rsidRDefault="00054858">
            <w:pPr>
              <w:spacing w:after="0" w:line="240" w:lineRule="auto"/>
              <w:rPr>
                <w:rFonts w:ascii="Arial" w:eastAsia="Times New Roman" w:hAnsi="Arial" w:cs="Times New Roman"/>
                <w:sz w:val="22"/>
              </w:rPr>
            </w:pPr>
          </w:p>
          <w:p w:rsidR="00054858" w:rsidRDefault="00054858">
            <w:pPr>
              <w:spacing w:after="0" w:line="240" w:lineRule="auto"/>
              <w:rPr>
                <w:rFonts w:ascii="Arial" w:eastAsia="Times New Roman" w:hAnsi="Arial" w:cs="Times New Roman"/>
                <w:sz w:val="22"/>
              </w:rPr>
            </w:pPr>
          </w:p>
        </w:tc>
        <w:tc>
          <w:tcPr>
            <w:tcW w:w="4252" w:type="dxa"/>
            <w:shd w:val="clear" w:color="auto" w:fill="FFFFFF"/>
            <w:tcMar>
              <w:top w:w="57" w:type="dxa"/>
            </w:tcMar>
          </w:tcPr>
          <w:p w:rsidR="00054858" w:rsidRDefault="00054858">
            <w:pPr>
              <w:spacing w:after="0" w:line="240" w:lineRule="auto"/>
              <w:rPr>
                <w:rFonts w:ascii="Arial" w:eastAsia="Times New Roman" w:hAnsi="Arial" w:cs="Times New Roman"/>
                <w:sz w:val="22"/>
              </w:rPr>
            </w:pPr>
          </w:p>
        </w:tc>
      </w:tr>
    </w:tbl>
    <w:p w:rsidR="00054858" w:rsidRDefault="00054858">
      <w:pPr>
        <w:rPr>
          <w:rFonts w:ascii="Arial" w:eastAsia="Times New Roman" w:hAnsi="Arial" w:cs="Times New Roman"/>
          <w:sz w:val="22"/>
          <w:lang w:val="en-US"/>
        </w:rPr>
      </w:pPr>
    </w:p>
    <w:sectPr w:rsidR="00054858">
      <w:headerReference w:type="default" r:id="rId112"/>
      <w:footerReference w:type="default" r:id="rId113"/>
      <w:pgSz w:w="12240" w:h="15840"/>
      <w:pgMar w:top="1668" w:right="1800" w:bottom="1440" w:left="1800" w:header="720" w:footer="3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97C" w:rsidRDefault="00C6697C">
      <w:pPr>
        <w:spacing w:after="0" w:line="240" w:lineRule="auto"/>
      </w:pPr>
      <w:r>
        <w:separator/>
      </w:r>
    </w:p>
  </w:endnote>
  <w:endnote w:type="continuationSeparator" w:id="0">
    <w:p w:rsidR="00C6697C" w:rsidRDefault="00C6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45 Light">
    <w:altName w:val="Malgun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238322"/>
      <w:docPartObj>
        <w:docPartGallery w:val="Page Numbers (Top of Page)"/>
        <w:docPartUnique/>
      </w:docPartObj>
    </w:sdtPr>
    <w:sdtEndPr>
      <w:rPr>
        <w:rStyle w:val="PageNumber"/>
        <w:rFonts w:ascii="Arial" w:hAnsi="Arial"/>
        <w:noProof/>
        <w:color w:val="CC0000"/>
        <w:lang w:val="en-US"/>
      </w:rPr>
    </w:sdtEndPr>
    <w:sdtContent>
      <w:p w:rsidR="00ED4BDD" w:rsidRDefault="00ED4BDD">
        <w:pPr>
          <w:pStyle w:val="Header"/>
          <w:tabs>
            <w:tab w:val="clear" w:pos="4320"/>
            <w:tab w:val="clear" w:pos="8640"/>
            <w:tab w:val="left" w:pos="3840"/>
          </w:tabs>
          <w:ind w:right="-716"/>
          <w:rPr>
            <w:rFonts w:ascii="Arial" w:hAnsi="Arial" w:cs="Arial"/>
            <w:color w:val="CC0000"/>
            <w:lang w:val="en-US"/>
          </w:rPr>
        </w:pPr>
        <w:r>
          <w:t xml:space="preserve">                                                                                </w:t>
        </w:r>
        <w:r>
          <w:rPr>
            <w:rStyle w:val="PageNumber"/>
            <w:rFonts w:ascii="Arial" w:hAnsi="Arial"/>
            <w:color w:val="CC0000"/>
            <w:lang w:val="en-US"/>
          </w:rPr>
          <w:fldChar w:fldCharType="begin"/>
        </w:r>
        <w:r>
          <w:rPr>
            <w:rStyle w:val="PageNumber"/>
            <w:rFonts w:ascii="Arial" w:hAnsi="Arial"/>
            <w:color w:val="CC0000"/>
            <w:lang w:val="en-US"/>
          </w:rPr>
          <w:instrText xml:space="preserve"> PAGE </w:instrText>
        </w:r>
        <w:r>
          <w:rPr>
            <w:rStyle w:val="PageNumber"/>
            <w:rFonts w:ascii="Arial" w:hAnsi="Arial"/>
            <w:color w:val="CC0000"/>
            <w:lang w:val="en-US"/>
          </w:rPr>
          <w:fldChar w:fldCharType="separate"/>
        </w:r>
        <w:r w:rsidR="00E7637C">
          <w:rPr>
            <w:rStyle w:val="PageNumber"/>
            <w:rFonts w:ascii="Arial" w:hAnsi="Arial"/>
            <w:noProof/>
            <w:color w:val="CC0000"/>
            <w:lang w:val="en-US"/>
          </w:rPr>
          <w:t>4</w:t>
        </w:r>
        <w:r>
          <w:rPr>
            <w:rStyle w:val="PageNumber"/>
            <w:rFonts w:ascii="Arial" w:hAnsi="Arial"/>
            <w:color w:val="CC0000"/>
            <w:lang w:val="en-US"/>
          </w:rPr>
          <w:fldChar w:fldCharType="end"/>
        </w:r>
        <w:r>
          <w:rPr>
            <w:rStyle w:val="PageNumber"/>
            <w:rFonts w:ascii="Arial" w:hAnsi="Arial"/>
            <w:color w:val="CC0000"/>
            <w:lang w:val="en-US"/>
          </w:rPr>
          <w:t xml:space="preserve"> of </w:t>
        </w:r>
        <w:r>
          <w:rPr>
            <w:rStyle w:val="PageNumber"/>
            <w:rFonts w:ascii="Arial" w:hAnsi="Arial"/>
            <w:color w:val="CC0000"/>
            <w:lang w:val="en-US"/>
          </w:rPr>
          <w:fldChar w:fldCharType="begin"/>
        </w:r>
        <w:r>
          <w:rPr>
            <w:rStyle w:val="PageNumber"/>
            <w:rFonts w:ascii="Arial" w:hAnsi="Arial"/>
            <w:color w:val="CC0000"/>
            <w:lang w:val="en-US"/>
          </w:rPr>
          <w:instrText xml:space="preserve"> NUMPAGES </w:instrText>
        </w:r>
        <w:r>
          <w:rPr>
            <w:rStyle w:val="PageNumber"/>
            <w:rFonts w:ascii="Arial" w:hAnsi="Arial"/>
            <w:color w:val="CC0000"/>
            <w:lang w:val="en-US"/>
          </w:rPr>
          <w:fldChar w:fldCharType="separate"/>
        </w:r>
        <w:r w:rsidR="00E7637C">
          <w:rPr>
            <w:rStyle w:val="PageNumber"/>
            <w:rFonts w:ascii="Arial" w:hAnsi="Arial"/>
            <w:noProof/>
            <w:color w:val="CC0000"/>
            <w:lang w:val="en-US"/>
          </w:rPr>
          <w:t>17</w:t>
        </w:r>
        <w:r>
          <w:rPr>
            <w:rStyle w:val="PageNumber"/>
            <w:rFonts w:ascii="Arial" w:hAnsi="Arial"/>
            <w:color w:val="CC0000"/>
            <w:lang w:val="en-US"/>
          </w:rPr>
          <w:fldChar w:fldCharType="end"/>
        </w:r>
        <w:r>
          <w:rPr>
            <w:rStyle w:val="PageNumber"/>
            <w:rFonts w:ascii="Arial" w:hAnsi="Arial"/>
            <w:color w:val="CC0000"/>
            <w:lang w:val="en-US"/>
          </w:rPr>
          <w:tab/>
        </w:r>
        <w:r>
          <w:rPr>
            <w:rFonts w:ascii="Arial" w:hAnsi="Arial" w:cs="Arial"/>
            <w:noProof/>
            <w:color w:val="CC0000"/>
            <w:lang w:eastAsia="en-GB"/>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-21590</wp:posOffset>
                  </wp:positionV>
                  <wp:extent cx="6400800" cy="0"/>
                  <wp:effectExtent l="28575" t="35560" r="28575" b="311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B662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OYHwIAADoEAAAOAAAAZHJzL2Uyb0RvYy54bWysU8GO2jAQvVfqP1i+QxIaW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" strokecolor="#c00" strokeweight="4.5pt">
                  <v:stroke linestyle="thinThick"/>
                </v:line>
              </w:pict>
            </mc:Fallback>
          </mc:AlternateContent>
        </w:r>
      </w:p>
      <w:p w:rsidR="00ED4BDD" w:rsidRDefault="00E7637C">
        <w:pPr>
          <w:pStyle w:val="Footer"/>
          <w:jc w:val="center"/>
          <w:rPr>
            <w:rStyle w:val="PageNumber"/>
            <w:rFonts w:ascii="Arial" w:hAnsi="Arial"/>
            <w:noProof/>
            <w:color w:val="CC0000"/>
            <w:lang w:val="en-US"/>
          </w:rPr>
        </w:pPr>
      </w:p>
    </w:sdtContent>
  </w:sdt>
  <w:p w:rsidR="00ED4BDD" w:rsidRDefault="00ED4BDD">
    <w:pPr>
      <w:pStyle w:val="Footer"/>
    </w:pPr>
  </w:p>
  <w:p w:rsidR="00ED4BDD" w:rsidRDefault="00ED4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97C" w:rsidRDefault="00C6697C">
      <w:pPr>
        <w:spacing w:after="0" w:line="240" w:lineRule="auto"/>
      </w:pPr>
      <w:r>
        <w:separator/>
      </w:r>
    </w:p>
  </w:footnote>
  <w:footnote w:type="continuationSeparator" w:id="0">
    <w:p w:rsidR="00C6697C" w:rsidRDefault="00C66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DD" w:rsidRDefault="00ED4BDD">
    <w:pPr>
      <w:pStyle w:val="Header"/>
      <w:tabs>
        <w:tab w:val="right" w:pos="9360"/>
      </w:tabs>
      <w:spacing w:after="0"/>
      <w:ind w:right="-1165"/>
      <w:jc w:val="right"/>
    </w:pPr>
    <w:r>
      <w:rPr>
        <w:noProof/>
        <w:lang w:eastAsia="en-GB"/>
      </w:rPr>
      <w:drawing>
        <wp:inline distT="0" distB="0" distL="0" distR="0">
          <wp:extent cx="933450" cy="581025"/>
          <wp:effectExtent l="0" t="0" r="0" b="9525"/>
          <wp:docPr id="1" name="Picture 1" descr="D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s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3450" cy="581025"/>
                  </a:xfrm>
                  <a:prstGeom prst="rect">
                    <a:avLst/>
                  </a:prstGeom>
                  <a:noFill/>
                  <a:ln>
                    <a:noFill/>
                  </a:ln>
                </pic:spPr>
              </pic:pic>
            </a:graphicData>
          </a:graphic>
        </wp:inline>
      </w:drawing>
    </w:r>
  </w:p>
  <w:p w:rsidR="00ED4BDD" w:rsidRDefault="00ED4BDD">
    <w:pPr>
      <w:pStyle w:val="Header"/>
      <w:tabs>
        <w:tab w:val="right" w:pos="9360"/>
      </w:tabs>
      <w:ind w:right="-858"/>
      <w:jc w:val="right"/>
      <w:rPr>
        <w:rFonts w:ascii="Arial" w:hAnsi="Arial" w:cs="Arial"/>
        <w:b/>
        <w:color w:val="CC0000"/>
      </w:rPr>
    </w:pPr>
    <w:r>
      <w:rPr>
        <w:rFonts w:ascii="Arial" w:hAnsi="Arial" w:cs="Arial"/>
        <w:noProof/>
        <w:color w:val="CC0000"/>
        <w:lang w:eastAsia="en-GB"/>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215900</wp:posOffset>
              </wp:positionV>
              <wp:extent cx="6400800" cy="0"/>
              <wp:effectExtent l="0" t="19050" r="19050" b="381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656F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pt" to="47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" strokecolor="#c00" strokeweight="4.5pt">
              <v:stroke linestyle="thinThick"/>
            </v:line>
          </w:pict>
        </mc:Fallback>
      </mc:AlternateContent>
    </w:r>
    <w:r>
      <w:rPr>
        <w:rFonts w:ascii="Arial" w:hAnsi="Arial" w:cs="Arial"/>
        <w:b/>
        <w:color w:val="CC0000"/>
      </w:rPr>
      <w:t xml:space="preserve"> Registration Statement For Funds Checklist: Prospectus Content</w:t>
    </w:r>
  </w:p>
  <w:p w:rsidR="00ED4BDD" w:rsidRDefault="00ED4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037B5"/>
    <w:multiLevelType w:val="hybridMultilevel"/>
    <w:tmpl w:val="099CF41C"/>
    <w:lvl w:ilvl="0" w:tplc="935A544C">
      <w:start w:val="1"/>
      <w:numFmt w:val="decimal"/>
      <w:pStyle w:val="Chapter"/>
      <w:lvlText w:val="(%1)"/>
      <w:lvlJc w:val="left"/>
      <w:pPr>
        <w:tabs>
          <w:tab w:val="num" w:pos="720"/>
        </w:tabs>
        <w:ind w:left="720" w:hanging="360"/>
      </w:pPr>
      <w:rPr>
        <w:rFonts w:hint="default"/>
        <w:u w:val="single"/>
      </w:rPr>
    </w:lvl>
    <w:lvl w:ilvl="1" w:tplc="38580206">
      <w:start w:val="1"/>
      <w:numFmt w:val="lowerRoman"/>
      <w:pStyle w:val="Section"/>
      <w:lvlText w:val="(%2)"/>
      <w:lvlJc w:val="left"/>
      <w:pPr>
        <w:tabs>
          <w:tab w:val="num" w:pos="1800"/>
        </w:tabs>
        <w:ind w:left="1800" w:hanging="720"/>
      </w:pPr>
      <w:rPr>
        <w:rFonts w:hint="default"/>
      </w:rPr>
    </w:lvl>
    <w:lvl w:ilvl="2" w:tplc="F634B07E">
      <w:start w:val="1"/>
      <w:numFmt w:val="lowerLetter"/>
      <w:lvlText w:val="(%3)"/>
      <w:lvlJc w:val="left"/>
      <w:pPr>
        <w:tabs>
          <w:tab w:val="num" w:pos="2340"/>
        </w:tabs>
        <w:ind w:left="2340" w:hanging="360"/>
      </w:pPr>
      <w:rPr>
        <w:rFonts w:hint="default"/>
      </w:rPr>
    </w:lvl>
    <w:lvl w:ilvl="3" w:tplc="7066969A" w:tentative="1">
      <w:start w:val="1"/>
      <w:numFmt w:val="decimal"/>
      <w:lvlText w:val="%4."/>
      <w:lvlJc w:val="left"/>
      <w:pPr>
        <w:tabs>
          <w:tab w:val="num" w:pos="2880"/>
        </w:tabs>
        <w:ind w:left="2880" w:hanging="360"/>
      </w:pPr>
    </w:lvl>
    <w:lvl w:ilvl="4" w:tplc="FD5099A2" w:tentative="1">
      <w:start w:val="1"/>
      <w:numFmt w:val="lowerLetter"/>
      <w:lvlText w:val="%5."/>
      <w:lvlJc w:val="left"/>
      <w:pPr>
        <w:tabs>
          <w:tab w:val="num" w:pos="3600"/>
        </w:tabs>
        <w:ind w:left="3600" w:hanging="360"/>
      </w:pPr>
    </w:lvl>
    <w:lvl w:ilvl="5" w:tplc="6E56564A" w:tentative="1">
      <w:start w:val="1"/>
      <w:numFmt w:val="lowerRoman"/>
      <w:lvlText w:val="%6."/>
      <w:lvlJc w:val="right"/>
      <w:pPr>
        <w:tabs>
          <w:tab w:val="num" w:pos="4320"/>
        </w:tabs>
        <w:ind w:left="4320" w:hanging="180"/>
      </w:pPr>
    </w:lvl>
    <w:lvl w:ilvl="6" w:tplc="E1121B9C" w:tentative="1">
      <w:start w:val="1"/>
      <w:numFmt w:val="decimal"/>
      <w:lvlText w:val="%7."/>
      <w:lvlJc w:val="left"/>
      <w:pPr>
        <w:tabs>
          <w:tab w:val="num" w:pos="5040"/>
        </w:tabs>
        <w:ind w:left="5040" w:hanging="360"/>
      </w:pPr>
    </w:lvl>
    <w:lvl w:ilvl="7" w:tplc="AFEEB030" w:tentative="1">
      <w:start w:val="1"/>
      <w:numFmt w:val="lowerLetter"/>
      <w:lvlText w:val="%8."/>
      <w:lvlJc w:val="left"/>
      <w:pPr>
        <w:tabs>
          <w:tab w:val="num" w:pos="5760"/>
        </w:tabs>
        <w:ind w:left="5760" w:hanging="360"/>
      </w:pPr>
    </w:lvl>
    <w:lvl w:ilvl="8" w:tplc="D264DC5C" w:tentative="1">
      <w:start w:val="1"/>
      <w:numFmt w:val="lowerRoman"/>
      <w:lvlText w:val="%9."/>
      <w:lvlJc w:val="right"/>
      <w:pPr>
        <w:tabs>
          <w:tab w:val="num" w:pos="6480"/>
        </w:tabs>
        <w:ind w:left="6480" w:hanging="180"/>
      </w:pPr>
    </w:lvl>
  </w:abstractNum>
  <w:abstractNum w:abstractNumId="1" w15:restartNumberingAfterBreak="0">
    <w:nsid w:val="12FF72E5"/>
    <w:multiLevelType w:val="hybridMultilevel"/>
    <w:tmpl w:val="5CFA4390"/>
    <w:lvl w:ilvl="0" w:tplc="5518063E">
      <w:start w:val="1"/>
      <w:numFmt w:val="lowerLetter"/>
      <w:lvlText w:val="(%1)"/>
      <w:lvlJc w:val="left"/>
      <w:pPr>
        <w:ind w:left="720" w:hanging="360"/>
      </w:pPr>
      <w:rPr>
        <w:rFonts w:hint="default"/>
      </w:rPr>
    </w:lvl>
    <w:lvl w:ilvl="1" w:tplc="B98CA1F2" w:tentative="1">
      <w:start w:val="1"/>
      <w:numFmt w:val="lowerLetter"/>
      <w:lvlText w:val="%2."/>
      <w:lvlJc w:val="left"/>
      <w:pPr>
        <w:ind w:left="1440" w:hanging="360"/>
      </w:pPr>
    </w:lvl>
    <w:lvl w:ilvl="2" w:tplc="3614E402" w:tentative="1">
      <w:start w:val="1"/>
      <w:numFmt w:val="lowerRoman"/>
      <w:lvlText w:val="%3."/>
      <w:lvlJc w:val="right"/>
      <w:pPr>
        <w:ind w:left="2160" w:hanging="180"/>
      </w:pPr>
    </w:lvl>
    <w:lvl w:ilvl="3" w:tplc="E6FE2112" w:tentative="1">
      <w:start w:val="1"/>
      <w:numFmt w:val="decimal"/>
      <w:lvlText w:val="%4."/>
      <w:lvlJc w:val="left"/>
      <w:pPr>
        <w:ind w:left="2880" w:hanging="360"/>
      </w:pPr>
    </w:lvl>
    <w:lvl w:ilvl="4" w:tplc="1CF2F47C" w:tentative="1">
      <w:start w:val="1"/>
      <w:numFmt w:val="lowerLetter"/>
      <w:lvlText w:val="%5."/>
      <w:lvlJc w:val="left"/>
      <w:pPr>
        <w:ind w:left="3600" w:hanging="360"/>
      </w:pPr>
    </w:lvl>
    <w:lvl w:ilvl="5" w:tplc="F7727B7C" w:tentative="1">
      <w:start w:val="1"/>
      <w:numFmt w:val="lowerRoman"/>
      <w:lvlText w:val="%6."/>
      <w:lvlJc w:val="right"/>
      <w:pPr>
        <w:ind w:left="4320" w:hanging="180"/>
      </w:pPr>
    </w:lvl>
    <w:lvl w:ilvl="6" w:tplc="DB62DA42" w:tentative="1">
      <w:start w:val="1"/>
      <w:numFmt w:val="decimal"/>
      <w:lvlText w:val="%7."/>
      <w:lvlJc w:val="left"/>
      <w:pPr>
        <w:ind w:left="5040" w:hanging="360"/>
      </w:pPr>
    </w:lvl>
    <w:lvl w:ilvl="7" w:tplc="C6181F02" w:tentative="1">
      <w:start w:val="1"/>
      <w:numFmt w:val="lowerLetter"/>
      <w:lvlText w:val="%8."/>
      <w:lvlJc w:val="left"/>
      <w:pPr>
        <w:ind w:left="5760" w:hanging="360"/>
      </w:pPr>
    </w:lvl>
    <w:lvl w:ilvl="8" w:tplc="F0BE58F8" w:tentative="1">
      <w:start w:val="1"/>
      <w:numFmt w:val="lowerRoman"/>
      <w:lvlText w:val="%9."/>
      <w:lvlJc w:val="right"/>
      <w:pPr>
        <w:ind w:left="6480" w:hanging="180"/>
      </w:pPr>
    </w:lvl>
  </w:abstractNum>
  <w:abstractNum w:abstractNumId="2" w15:restartNumberingAfterBreak="0">
    <w:nsid w:val="1C52307D"/>
    <w:multiLevelType w:val="hybridMultilevel"/>
    <w:tmpl w:val="5914B1BE"/>
    <w:lvl w:ilvl="0" w:tplc="C678966C">
      <w:start w:val="1"/>
      <w:numFmt w:val="lowerLetter"/>
      <w:lvlText w:val="(%1)"/>
      <w:lvlJc w:val="left"/>
      <w:pPr>
        <w:ind w:left="326"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3" w15:restartNumberingAfterBreak="0">
    <w:nsid w:val="267504FE"/>
    <w:multiLevelType w:val="hybridMultilevel"/>
    <w:tmpl w:val="27C2B54E"/>
    <w:lvl w:ilvl="0" w:tplc="68DAEDF8">
      <w:start w:val="1"/>
      <w:numFmt w:val="decimal"/>
      <w:lvlText w:val="%1."/>
      <w:lvlJc w:val="left"/>
      <w:pPr>
        <w:tabs>
          <w:tab w:val="num" w:pos="1080"/>
        </w:tabs>
        <w:ind w:left="1080" w:hanging="360"/>
      </w:pPr>
      <w:rPr>
        <w:rFonts w:hint="default"/>
      </w:rPr>
    </w:lvl>
    <w:lvl w:ilvl="1" w:tplc="D32CE0AA">
      <w:start w:val="1"/>
      <w:numFmt w:val="lowerLetter"/>
      <w:lvlText w:val="(%2)"/>
      <w:lvlJc w:val="left"/>
      <w:pPr>
        <w:tabs>
          <w:tab w:val="num" w:pos="1800"/>
        </w:tabs>
        <w:ind w:left="1800" w:hanging="360"/>
      </w:pPr>
      <w:rPr>
        <w:rFonts w:hint="default"/>
      </w:rPr>
    </w:lvl>
    <w:lvl w:ilvl="2" w:tplc="8A043750">
      <w:start w:val="1"/>
      <w:numFmt w:val="lowerRoman"/>
      <w:lvlText w:val="%3."/>
      <w:lvlJc w:val="right"/>
      <w:pPr>
        <w:tabs>
          <w:tab w:val="num" w:pos="2520"/>
        </w:tabs>
        <w:ind w:left="2520" w:hanging="180"/>
      </w:pPr>
    </w:lvl>
    <w:lvl w:ilvl="3" w:tplc="7B528C18" w:tentative="1">
      <w:start w:val="1"/>
      <w:numFmt w:val="decimal"/>
      <w:lvlText w:val="%4."/>
      <w:lvlJc w:val="left"/>
      <w:pPr>
        <w:tabs>
          <w:tab w:val="num" w:pos="3240"/>
        </w:tabs>
        <w:ind w:left="3240" w:hanging="360"/>
      </w:pPr>
    </w:lvl>
    <w:lvl w:ilvl="4" w:tplc="F4922124" w:tentative="1">
      <w:start w:val="1"/>
      <w:numFmt w:val="lowerLetter"/>
      <w:lvlText w:val="%5."/>
      <w:lvlJc w:val="left"/>
      <w:pPr>
        <w:tabs>
          <w:tab w:val="num" w:pos="3960"/>
        </w:tabs>
        <w:ind w:left="3960" w:hanging="360"/>
      </w:pPr>
    </w:lvl>
    <w:lvl w:ilvl="5" w:tplc="E8884F90" w:tentative="1">
      <w:start w:val="1"/>
      <w:numFmt w:val="lowerRoman"/>
      <w:lvlText w:val="%6."/>
      <w:lvlJc w:val="right"/>
      <w:pPr>
        <w:tabs>
          <w:tab w:val="num" w:pos="4680"/>
        </w:tabs>
        <w:ind w:left="4680" w:hanging="180"/>
      </w:pPr>
    </w:lvl>
    <w:lvl w:ilvl="6" w:tplc="C89CA5FC" w:tentative="1">
      <w:start w:val="1"/>
      <w:numFmt w:val="decimal"/>
      <w:lvlText w:val="%7."/>
      <w:lvlJc w:val="left"/>
      <w:pPr>
        <w:tabs>
          <w:tab w:val="num" w:pos="5400"/>
        </w:tabs>
        <w:ind w:left="5400" w:hanging="360"/>
      </w:pPr>
    </w:lvl>
    <w:lvl w:ilvl="7" w:tplc="3DF8C1EA" w:tentative="1">
      <w:start w:val="1"/>
      <w:numFmt w:val="lowerLetter"/>
      <w:lvlText w:val="%8."/>
      <w:lvlJc w:val="left"/>
      <w:pPr>
        <w:tabs>
          <w:tab w:val="num" w:pos="6120"/>
        </w:tabs>
        <w:ind w:left="6120" w:hanging="360"/>
      </w:pPr>
    </w:lvl>
    <w:lvl w:ilvl="8" w:tplc="A5123D68" w:tentative="1">
      <w:start w:val="1"/>
      <w:numFmt w:val="lowerRoman"/>
      <w:lvlText w:val="%9."/>
      <w:lvlJc w:val="right"/>
      <w:pPr>
        <w:tabs>
          <w:tab w:val="num" w:pos="6840"/>
        </w:tabs>
        <w:ind w:left="6840" w:hanging="180"/>
      </w:pPr>
    </w:lvl>
  </w:abstractNum>
  <w:abstractNum w:abstractNumId="4" w15:restartNumberingAfterBreak="0">
    <w:nsid w:val="38EB4E8C"/>
    <w:multiLevelType w:val="hybridMultilevel"/>
    <w:tmpl w:val="371CA6A6"/>
    <w:lvl w:ilvl="0" w:tplc="67BAA834">
      <w:start w:val="1"/>
      <w:numFmt w:val="decimal"/>
      <w:lvlText w:val="(%1)"/>
      <w:lvlJc w:val="left"/>
      <w:pPr>
        <w:ind w:left="720" w:hanging="360"/>
      </w:pPr>
      <w:rPr>
        <w:rFonts w:hint="default"/>
      </w:rPr>
    </w:lvl>
    <w:lvl w:ilvl="1" w:tplc="6BA2C418" w:tentative="1">
      <w:start w:val="1"/>
      <w:numFmt w:val="lowerLetter"/>
      <w:lvlText w:val="%2."/>
      <w:lvlJc w:val="left"/>
      <w:pPr>
        <w:ind w:left="1440" w:hanging="360"/>
      </w:pPr>
    </w:lvl>
    <w:lvl w:ilvl="2" w:tplc="4DDEA626" w:tentative="1">
      <w:start w:val="1"/>
      <w:numFmt w:val="lowerRoman"/>
      <w:lvlText w:val="%3."/>
      <w:lvlJc w:val="right"/>
      <w:pPr>
        <w:ind w:left="2160" w:hanging="180"/>
      </w:pPr>
    </w:lvl>
    <w:lvl w:ilvl="3" w:tplc="A49C6286" w:tentative="1">
      <w:start w:val="1"/>
      <w:numFmt w:val="decimal"/>
      <w:lvlText w:val="%4."/>
      <w:lvlJc w:val="left"/>
      <w:pPr>
        <w:ind w:left="2880" w:hanging="360"/>
      </w:pPr>
    </w:lvl>
    <w:lvl w:ilvl="4" w:tplc="151E81F2" w:tentative="1">
      <w:start w:val="1"/>
      <w:numFmt w:val="lowerLetter"/>
      <w:lvlText w:val="%5."/>
      <w:lvlJc w:val="left"/>
      <w:pPr>
        <w:ind w:left="3600" w:hanging="360"/>
      </w:pPr>
    </w:lvl>
    <w:lvl w:ilvl="5" w:tplc="B8261C48" w:tentative="1">
      <w:start w:val="1"/>
      <w:numFmt w:val="lowerRoman"/>
      <w:lvlText w:val="%6."/>
      <w:lvlJc w:val="right"/>
      <w:pPr>
        <w:ind w:left="4320" w:hanging="180"/>
      </w:pPr>
    </w:lvl>
    <w:lvl w:ilvl="6" w:tplc="47E0E4C8" w:tentative="1">
      <w:start w:val="1"/>
      <w:numFmt w:val="decimal"/>
      <w:lvlText w:val="%7."/>
      <w:lvlJc w:val="left"/>
      <w:pPr>
        <w:ind w:left="5040" w:hanging="360"/>
      </w:pPr>
    </w:lvl>
    <w:lvl w:ilvl="7" w:tplc="621A0A80" w:tentative="1">
      <w:start w:val="1"/>
      <w:numFmt w:val="lowerLetter"/>
      <w:lvlText w:val="%8."/>
      <w:lvlJc w:val="left"/>
      <w:pPr>
        <w:ind w:left="5760" w:hanging="360"/>
      </w:pPr>
    </w:lvl>
    <w:lvl w:ilvl="8" w:tplc="1C148090" w:tentative="1">
      <w:start w:val="1"/>
      <w:numFmt w:val="lowerRoman"/>
      <w:lvlText w:val="%9."/>
      <w:lvlJc w:val="right"/>
      <w:pPr>
        <w:ind w:left="6480" w:hanging="180"/>
      </w:pPr>
    </w:lvl>
  </w:abstractNum>
  <w:abstractNum w:abstractNumId="5" w15:restartNumberingAfterBreak="0">
    <w:nsid w:val="3B1E31E5"/>
    <w:multiLevelType w:val="hybridMultilevel"/>
    <w:tmpl w:val="EE4EBAFC"/>
    <w:lvl w:ilvl="0" w:tplc="577A358E">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6" w15:restartNumberingAfterBreak="0">
    <w:nsid w:val="59A610C4"/>
    <w:multiLevelType w:val="hybridMultilevel"/>
    <w:tmpl w:val="B88AF91A"/>
    <w:lvl w:ilvl="0" w:tplc="849604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6A5CC5"/>
    <w:multiLevelType w:val="hybridMultilevel"/>
    <w:tmpl w:val="8946D866"/>
    <w:lvl w:ilvl="0" w:tplc="8038815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F326E2"/>
    <w:multiLevelType w:val="hybridMultilevel"/>
    <w:tmpl w:val="778008C0"/>
    <w:lvl w:ilvl="0" w:tplc="8CE220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705DFA"/>
    <w:multiLevelType w:val="hybridMultilevel"/>
    <w:tmpl w:val="5C98C6AA"/>
    <w:lvl w:ilvl="0" w:tplc="8A04375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BD5430"/>
    <w:multiLevelType w:val="hybridMultilevel"/>
    <w:tmpl w:val="9CB2C5B0"/>
    <w:lvl w:ilvl="0" w:tplc="8CC00EF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6"/>
  </w:num>
  <w:num w:numId="6">
    <w:abstractNumId w:val="5"/>
  </w:num>
  <w:num w:numId="7">
    <w:abstractNumId w:val="9"/>
  </w:num>
  <w:num w:numId="8">
    <w:abstractNumId w:val="8"/>
  </w:num>
  <w:num w:numId="9">
    <w:abstractNumId w:val="7"/>
  </w:num>
  <w:num w:numId="10">
    <w:abstractNumId w:val="2"/>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True"/>
    <w:docVar w:name="DocIDDateText" w:val="False"/>
    <w:docVar w:name="DocIDLibrary" w:val="False"/>
    <w:docVar w:name="DocIDTime" w:val="False"/>
    <w:docVar w:name="DocIDType" w:val="AllPages"/>
    <w:docVar w:name="DocIDTypist" w:val="False"/>
    <w:docVar w:name="LegacyDocIDRemoved" w:val="True"/>
  </w:docVars>
  <w:rsids>
    <w:rsidRoot w:val="00054858"/>
    <w:rsid w:val="00041F24"/>
    <w:rsid w:val="00054858"/>
    <w:rsid w:val="00067F45"/>
    <w:rsid w:val="00071D50"/>
    <w:rsid w:val="000A65BA"/>
    <w:rsid w:val="000B407F"/>
    <w:rsid w:val="000B5D94"/>
    <w:rsid w:val="0012416C"/>
    <w:rsid w:val="00133434"/>
    <w:rsid w:val="001449AC"/>
    <w:rsid w:val="00145054"/>
    <w:rsid w:val="00165B4C"/>
    <w:rsid w:val="001927EA"/>
    <w:rsid w:val="00194869"/>
    <w:rsid w:val="001A3F43"/>
    <w:rsid w:val="001A5B12"/>
    <w:rsid w:val="001E0202"/>
    <w:rsid w:val="001E5F91"/>
    <w:rsid w:val="00207F38"/>
    <w:rsid w:val="0021355D"/>
    <w:rsid w:val="00252B80"/>
    <w:rsid w:val="002A2997"/>
    <w:rsid w:val="002A568B"/>
    <w:rsid w:val="002B082A"/>
    <w:rsid w:val="002F2CD5"/>
    <w:rsid w:val="00302444"/>
    <w:rsid w:val="00320007"/>
    <w:rsid w:val="003227AE"/>
    <w:rsid w:val="00323C5D"/>
    <w:rsid w:val="00337A48"/>
    <w:rsid w:val="00350C54"/>
    <w:rsid w:val="00366C14"/>
    <w:rsid w:val="003C10E3"/>
    <w:rsid w:val="003C59B5"/>
    <w:rsid w:val="003E7A16"/>
    <w:rsid w:val="00413903"/>
    <w:rsid w:val="00417F0A"/>
    <w:rsid w:val="00443E76"/>
    <w:rsid w:val="004455ED"/>
    <w:rsid w:val="004D0891"/>
    <w:rsid w:val="004E04A0"/>
    <w:rsid w:val="004F113F"/>
    <w:rsid w:val="00523559"/>
    <w:rsid w:val="005236B3"/>
    <w:rsid w:val="0054303D"/>
    <w:rsid w:val="00556DC4"/>
    <w:rsid w:val="00562572"/>
    <w:rsid w:val="005A05EB"/>
    <w:rsid w:val="005C2E10"/>
    <w:rsid w:val="005C5E8E"/>
    <w:rsid w:val="005F323F"/>
    <w:rsid w:val="00622197"/>
    <w:rsid w:val="00623A2B"/>
    <w:rsid w:val="0063559C"/>
    <w:rsid w:val="006444AC"/>
    <w:rsid w:val="00646993"/>
    <w:rsid w:val="006672E9"/>
    <w:rsid w:val="00676796"/>
    <w:rsid w:val="006B6CDD"/>
    <w:rsid w:val="006C6893"/>
    <w:rsid w:val="006D4FC2"/>
    <w:rsid w:val="00736B24"/>
    <w:rsid w:val="007515A9"/>
    <w:rsid w:val="00756B0F"/>
    <w:rsid w:val="00770D5D"/>
    <w:rsid w:val="007A4D05"/>
    <w:rsid w:val="007C6CD2"/>
    <w:rsid w:val="007D05E8"/>
    <w:rsid w:val="00847327"/>
    <w:rsid w:val="00876E67"/>
    <w:rsid w:val="00877319"/>
    <w:rsid w:val="008B565F"/>
    <w:rsid w:val="008C258B"/>
    <w:rsid w:val="008C375D"/>
    <w:rsid w:val="008D2077"/>
    <w:rsid w:val="008D7217"/>
    <w:rsid w:val="008E26B3"/>
    <w:rsid w:val="008E60AC"/>
    <w:rsid w:val="008F6459"/>
    <w:rsid w:val="008F77EE"/>
    <w:rsid w:val="00934CF6"/>
    <w:rsid w:val="00957E98"/>
    <w:rsid w:val="00967176"/>
    <w:rsid w:val="009F48FE"/>
    <w:rsid w:val="009F578D"/>
    <w:rsid w:val="009F779A"/>
    <w:rsid w:val="00A14EF1"/>
    <w:rsid w:val="00A278BF"/>
    <w:rsid w:val="00A30648"/>
    <w:rsid w:val="00A4570A"/>
    <w:rsid w:val="00A8709D"/>
    <w:rsid w:val="00A94075"/>
    <w:rsid w:val="00AB6DB4"/>
    <w:rsid w:val="00AC040B"/>
    <w:rsid w:val="00AD4571"/>
    <w:rsid w:val="00B06DBD"/>
    <w:rsid w:val="00B10F5A"/>
    <w:rsid w:val="00B140BF"/>
    <w:rsid w:val="00B15867"/>
    <w:rsid w:val="00B34C67"/>
    <w:rsid w:val="00B41E94"/>
    <w:rsid w:val="00B51306"/>
    <w:rsid w:val="00B84CB8"/>
    <w:rsid w:val="00B963A8"/>
    <w:rsid w:val="00BC3F29"/>
    <w:rsid w:val="00C3101D"/>
    <w:rsid w:val="00C6697C"/>
    <w:rsid w:val="00C748BE"/>
    <w:rsid w:val="00CA7580"/>
    <w:rsid w:val="00CB65F9"/>
    <w:rsid w:val="00CD3639"/>
    <w:rsid w:val="00D074A2"/>
    <w:rsid w:val="00D608C6"/>
    <w:rsid w:val="00D85AD4"/>
    <w:rsid w:val="00DB17FF"/>
    <w:rsid w:val="00DC62A6"/>
    <w:rsid w:val="00DE6AB9"/>
    <w:rsid w:val="00E32921"/>
    <w:rsid w:val="00E561F2"/>
    <w:rsid w:val="00E7637C"/>
    <w:rsid w:val="00EB1462"/>
    <w:rsid w:val="00ED4BDD"/>
    <w:rsid w:val="00EF1DEA"/>
    <w:rsid w:val="00EF41AD"/>
    <w:rsid w:val="00F35DF5"/>
    <w:rsid w:val="00FA7ED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F06C70F-A057-4119-85DE-8CE313E7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Bidi" w:hAnsiTheme="minorBidi"/>
      <w:sz w:val="20"/>
    </w:rPr>
  </w:style>
  <w:style w:type="paragraph" w:styleId="Heading1">
    <w:name w:val="heading 1"/>
    <w:basedOn w:val="Normal"/>
    <w:next w:val="Normal"/>
    <w:link w:val="Heading1Char"/>
    <w:uiPriority w:val="9"/>
    <w:qFormat/>
    <w:pPr>
      <w:spacing w:before="200" w:after="0"/>
      <w:contextualSpacing/>
      <w:outlineLvl w:val="0"/>
    </w:pPr>
    <w:rPr>
      <w:rFonts w:eastAsiaTheme="majorEastAsia"/>
      <w:b/>
      <w:bCs/>
      <w:sz w:val="26"/>
      <w:szCs w:val="26"/>
      <w:lang w:val="en-AU"/>
    </w:rPr>
  </w:style>
  <w:style w:type="paragraph" w:styleId="Heading2">
    <w:name w:val="heading 2"/>
    <w:basedOn w:val="Normal"/>
    <w:next w:val="Normal"/>
    <w:link w:val="Heading2Char"/>
    <w:uiPriority w:val="9"/>
    <w:unhideWhenUsed/>
    <w:qFormat/>
    <w:pPr>
      <w:spacing w:before="200" w:after="0"/>
      <w:outlineLvl w:val="1"/>
    </w:pPr>
    <w:rPr>
      <w:rFonts w:eastAsiaTheme="majorEastAsia"/>
      <w:b/>
      <w:bCs/>
      <w:sz w:val="24"/>
      <w:szCs w:val="26"/>
      <w:lang w:val="en-AU"/>
    </w:rPr>
  </w:style>
  <w:style w:type="paragraph" w:styleId="Heading3">
    <w:name w:val="heading 3"/>
    <w:basedOn w:val="Normal"/>
    <w:next w:val="Normal"/>
    <w:link w:val="Heading3Char"/>
    <w:uiPriority w:val="9"/>
    <w:unhideWhenUsed/>
    <w:qFormat/>
    <w:pPr>
      <w:spacing w:before="200" w:after="0" w:line="271" w:lineRule="auto"/>
      <w:outlineLvl w:val="2"/>
    </w:pPr>
    <w:rPr>
      <w:rFonts w:eastAsiaTheme="majorEastAsia"/>
      <w:b/>
      <w:bCs/>
      <w:sz w:val="22"/>
      <w:lang w:val="en-AU"/>
    </w:rPr>
  </w:style>
  <w:style w:type="paragraph" w:styleId="Heading5">
    <w:name w:val="heading 5"/>
    <w:basedOn w:val="Normal"/>
    <w:next w:val="Normal"/>
    <w:link w:val="Heading5Char"/>
    <w:uiPriority w:val="9"/>
    <w:semiHidden/>
    <w:unhideWhenUsed/>
    <w:qFormat/>
    <w:pPr>
      <w:spacing w:before="200" w:after="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ing1Char">
    <w:name w:val="Heading 1 Char"/>
    <w:basedOn w:val="DefaultParagraphFont"/>
    <w:link w:val="Heading1"/>
    <w:uiPriority w:val="9"/>
    <w:rPr>
      <w:rFonts w:asciiTheme="minorBidi" w:eastAsiaTheme="majorEastAsia" w:hAnsiTheme="minorBidi"/>
      <w:b/>
      <w:bCs/>
      <w:sz w:val="26"/>
      <w:szCs w:val="26"/>
      <w:lang w:val="en-AU"/>
    </w:rPr>
  </w:style>
  <w:style w:type="character" w:customStyle="1" w:styleId="Heading2Char">
    <w:name w:val="Heading 2 Char"/>
    <w:basedOn w:val="DefaultParagraphFont"/>
    <w:link w:val="Heading2"/>
    <w:uiPriority w:val="9"/>
    <w:rPr>
      <w:rFonts w:asciiTheme="minorBidi" w:eastAsiaTheme="majorEastAsia" w:hAnsiTheme="minorBidi"/>
      <w:b/>
      <w:bCs/>
      <w:sz w:val="24"/>
      <w:szCs w:val="26"/>
      <w:lang w:val="en-AU"/>
    </w:rPr>
  </w:style>
  <w:style w:type="character" w:customStyle="1" w:styleId="Heading3Char">
    <w:name w:val="Heading 3 Char"/>
    <w:basedOn w:val="DefaultParagraphFont"/>
    <w:link w:val="Heading3"/>
    <w:uiPriority w:val="9"/>
    <w:rPr>
      <w:rFonts w:asciiTheme="minorBidi" w:eastAsiaTheme="majorEastAsia" w:hAnsiTheme="minorBidi"/>
      <w:b/>
      <w:bCs/>
      <w:lang w:val="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Title">
    <w:name w:val="Title"/>
    <w:basedOn w:val="Normal"/>
    <w:next w:val="Normal"/>
    <w:link w:val="TitleChar"/>
    <w:uiPriority w:val="10"/>
    <w:qFormat/>
    <w:pPr>
      <w:tabs>
        <w:tab w:val="left" w:pos="720"/>
        <w:tab w:val="left" w:pos="1440"/>
        <w:tab w:val="left" w:pos="3710"/>
      </w:tabs>
      <w:spacing w:before="320" w:line="240" w:lineRule="auto"/>
      <w:contextualSpacing/>
    </w:pPr>
    <w:rPr>
      <w:rFonts w:eastAsiaTheme="majorEastAsia"/>
      <w:b/>
      <w:bCs/>
      <w:caps/>
      <w:color w:val="C00000"/>
      <w:spacing w:val="5"/>
      <w:sz w:val="32"/>
      <w:szCs w:val="32"/>
      <w:lang w:val="en-US"/>
    </w:rPr>
  </w:style>
  <w:style w:type="character" w:customStyle="1" w:styleId="TitleChar">
    <w:name w:val="Title Char"/>
    <w:basedOn w:val="DefaultParagraphFont"/>
    <w:link w:val="Title"/>
    <w:uiPriority w:val="10"/>
    <w:rPr>
      <w:rFonts w:asciiTheme="minorBidi" w:eastAsiaTheme="majorEastAsia" w:hAnsiTheme="minorBidi"/>
      <w:b/>
      <w:bCs/>
      <w:caps/>
      <w:color w:val="C00000"/>
      <w:spacing w:val="5"/>
      <w:sz w:val="32"/>
      <w:szCs w:val="32"/>
      <w:lang w:val="en-US"/>
    </w:rPr>
  </w:style>
  <w:style w:type="paragraph" w:styleId="Subtitle">
    <w:name w:val="Subtitle"/>
    <w:basedOn w:val="Normal"/>
    <w:next w:val="Normal"/>
    <w:link w:val="SubtitleChar"/>
    <w:uiPriority w:val="11"/>
    <w:qFormat/>
    <w:pPr>
      <w:spacing w:after="600"/>
    </w:pPr>
    <w:rPr>
      <w:rFonts w:eastAsiaTheme="majorEastAsia"/>
      <w:b/>
      <w:bCs/>
      <w:iCs/>
      <w:spacing w:val="13"/>
      <w:sz w:val="28"/>
      <w:szCs w:val="28"/>
      <w:lang w:val="en-AU"/>
    </w:rPr>
  </w:style>
  <w:style w:type="character" w:customStyle="1" w:styleId="SubtitleChar">
    <w:name w:val="Subtitle Char"/>
    <w:basedOn w:val="DefaultParagraphFont"/>
    <w:link w:val="Subtitle"/>
    <w:uiPriority w:val="11"/>
    <w:rPr>
      <w:rFonts w:asciiTheme="minorBidi" w:eastAsiaTheme="majorEastAsia" w:hAnsiTheme="minorBidi"/>
      <w:b/>
      <w:bCs/>
      <w:iCs/>
      <w:spacing w:val="13"/>
      <w:sz w:val="28"/>
      <w:szCs w:val="28"/>
      <w:lang w:val="en-AU"/>
    </w:rPr>
  </w:style>
  <w:style w:type="character" w:styleId="Strong">
    <w:name w:val="Strong"/>
    <w:uiPriority w:val="22"/>
    <w:rPr>
      <w:b/>
      <w:bCs/>
    </w:rPr>
  </w:style>
  <w:style w:type="paragraph" w:styleId="NoSpacing">
    <w:name w:val="No Spacing"/>
    <w:basedOn w:val="Normal"/>
    <w:link w:val="NoSpacingChar"/>
    <w:uiPriority w:val="1"/>
    <w:qFormat/>
    <w:pPr>
      <w:spacing w:after="0" w:line="240" w:lineRule="auto"/>
    </w:pPr>
    <w:rPr>
      <w:szCs w:val="20"/>
    </w:rPr>
  </w:style>
  <w:style w:type="character" w:customStyle="1" w:styleId="NoSpacingChar">
    <w:name w:val="No Spacing Char"/>
    <w:basedOn w:val="DefaultParagraphFont"/>
    <w:link w:val="NoSpacing"/>
    <w:uiPriority w:val="1"/>
    <w:rPr>
      <w:rFonts w:asciiTheme="minorBidi" w:hAnsiTheme="minorBidi"/>
      <w:sz w:val="20"/>
      <w:szCs w:val="20"/>
    </w:rPr>
  </w:style>
  <w:style w:type="paragraph" w:styleId="ListParagraph">
    <w:name w:val="List Paragraph"/>
    <w:basedOn w:val="Normal"/>
    <w:uiPriority w:val="34"/>
    <w:qFormat/>
    <w:pPr>
      <w:contextualSpacing/>
    </w:pPr>
    <w:rPr>
      <w:lang w:val="en-AU"/>
    </w:rPr>
  </w:style>
  <w:style w:type="paragraph" w:styleId="Quote">
    <w:name w:val="Quote"/>
    <w:basedOn w:val="Normal"/>
    <w:next w:val="Normal"/>
    <w:link w:val="QuoteChar"/>
    <w:uiPriority w:val="29"/>
    <w:qFormat/>
    <w:pPr>
      <w:spacing w:before="200" w:after="0"/>
      <w:ind w:left="360" w:right="360"/>
    </w:pPr>
    <w:rPr>
      <w:rFonts w:asciiTheme="minorHAnsi" w:hAnsiTheme="minorHAnsi"/>
      <w:i/>
      <w:iCs/>
      <w:sz w:val="22"/>
    </w:rPr>
  </w:style>
  <w:style w:type="character" w:customStyle="1" w:styleId="QuoteChar">
    <w:name w:val="Quote Char"/>
    <w:link w:val="Quote"/>
    <w:uiPriority w:val="29"/>
    <w:rPr>
      <w:i/>
      <w:iCs/>
    </w:rPr>
  </w:style>
  <w:style w:type="paragraph" w:styleId="TOCHeading">
    <w:name w:val="TOC Heading"/>
    <w:basedOn w:val="Heading1"/>
    <w:next w:val="Normal"/>
    <w:uiPriority w:val="39"/>
    <w:semiHidden/>
    <w:unhideWhenUsed/>
    <w:qFormat/>
    <w:pPr>
      <w:outlineLvl w:val="9"/>
    </w:pPr>
  </w:style>
  <w:style w:type="paragraph" w:customStyle="1" w:styleId="SubjectText">
    <w:name w:val="Subject Text"/>
    <w:basedOn w:val="Normal"/>
    <w:link w:val="SubjectTextChar"/>
    <w:qFormat/>
    <w:rPr>
      <w:b/>
      <w:bCs/>
      <w:sz w:val="22"/>
    </w:rPr>
  </w:style>
  <w:style w:type="character" w:customStyle="1" w:styleId="SubjectTextChar">
    <w:name w:val="Subject Text Char"/>
    <w:basedOn w:val="DefaultParagraphFont"/>
    <w:link w:val="SubjectText"/>
    <w:rPr>
      <w:rFonts w:asciiTheme="minorBidi" w:hAnsiTheme="minorBidi"/>
      <w:b/>
      <w:bCs/>
    </w:rPr>
  </w:style>
  <w:style w:type="numbering" w:customStyle="1" w:styleId="NoList1">
    <w:name w:val="No List1"/>
    <w:next w:val="NoList"/>
    <w:uiPriority w:val="99"/>
    <w:semiHidden/>
    <w:unhideWhenUsed/>
  </w:style>
  <w:style w:type="character" w:customStyle="1" w:styleId="HeaderChar">
    <w:name w:val="Header Char"/>
    <w:basedOn w:val="DefaultParagraphFont"/>
    <w:link w:val="Header"/>
    <w:uiPriority w:val="99"/>
    <w:rPr>
      <w:rFonts w:asciiTheme="minorBidi" w:hAnsiTheme="minorBidi"/>
      <w:sz w:val="20"/>
    </w:rPr>
  </w:style>
  <w:style w:type="character" w:customStyle="1" w:styleId="FooterChar">
    <w:name w:val="Footer Char"/>
    <w:basedOn w:val="DefaultParagraphFont"/>
    <w:link w:val="Footer"/>
    <w:uiPriority w:val="99"/>
    <w:rPr>
      <w:rFonts w:asciiTheme="minorBidi" w:hAnsiTheme="minorBidi"/>
      <w:sz w:val="20"/>
    </w:rPr>
  </w:style>
  <w:style w:type="character" w:styleId="PageNumber">
    <w:name w:val="page number"/>
    <w:basedOn w:val="DefaultParagraphFont"/>
  </w:style>
  <w:style w:type="paragraph" w:customStyle="1" w:styleId="BodyText1">
    <w:name w:val="Body Text1"/>
    <w:basedOn w:val="Heading1"/>
    <w:pPr>
      <w:keepNext/>
      <w:spacing w:before="240" w:after="60" w:line="240" w:lineRule="auto"/>
      <w:ind w:left="170"/>
      <w:contextualSpacing w:val="0"/>
    </w:pPr>
    <w:rPr>
      <w:rFonts w:ascii="Arial" w:eastAsia="Times New Roman" w:hAnsi="Arial" w:cs="Times New Roman"/>
      <w:b w:val="0"/>
      <w:kern w:val="32"/>
      <w:sz w:val="22"/>
      <w:szCs w:val="32"/>
      <w:lang w:val="en-US"/>
    </w:rPr>
  </w:style>
  <w:style w:type="character" w:customStyle="1" w:styleId="longtext">
    <w:name w:val="long_text"/>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numbering" w:customStyle="1" w:styleId="NoList11">
    <w:name w:val="No List11"/>
    <w:next w:val="NoList"/>
    <w:uiPriority w:val="99"/>
    <w:semiHidden/>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ascii="Arial" w:eastAsia="Times New Roman" w:hAnsi="Arial" w:cs="Times New Roman"/>
      <w:szCs w:val="20"/>
      <w:lang w:val="en-US"/>
    </w:rPr>
  </w:style>
  <w:style w:type="character" w:customStyle="1" w:styleId="CommentTextChar">
    <w:name w:val="Comment Text Char"/>
    <w:basedOn w:val="DefaultParagraphFont"/>
    <w:link w:val="CommentText"/>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eastAsia="Times New Roman" w:hAnsi="Arial" w:cs="Times New Roman"/>
      <w:b/>
      <w:bCs/>
      <w:sz w:val="20"/>
      <w:szCs w:val="20"/>
      <w:lang w:val="en-US"/>
    </w:rPr>
  </w:style>
  <w:style w:type="paragraph" w:customStyle="1" w:styleId="Default">
    <w:name w:val="Default"/>
    <w:pPr>
      <w:autoSpaceDE w:val="0"/>
      <w:autoSpaceDN w:val="0"/>
      <w:adjustRightInd w:val="0"/>
      <w:spacing w:after="0" w:line="240" w:lineRule="auto"/>
    </w:pPr>
    <w:rPr>
      <w:rFonts w:ascii="Frutiger LT 45 Light" w:eastAsia="Times New Roman" w:hAnsi="Frutiger LT 45 Light" w:cs="Frutiger LT 45 Light"/>
      <w:color w:val="000000"/>
      <w:sz w:val="24"/>
      <w:szCs w:val="24"/>
      <w:lang w:val="en-US"/>
    </w:rPr>
  </w:style>
  <w:style w:type="numbering" w:customStyle="1" w:styleId="NoList2">
    <w:name w:val="No List2"/>
    <w:next w:val="NoList"/>
    <w:semiHidden/>
  </w:style>
  <w:style w:type="numbering" w:customStyle="1" w:styleId="NoList3">
    <w:name w:val="No List3"/>
    <w:next w:val="NoList"/>
    <w:semiHidden/>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nhideWhenUsed/>
    <w:qFormat/>
    <w:pPr>
      <w:spacing w:before="200" w:after="0" w:line="240" w:lineRule="auto"/>
      <w:outlineLvl w:val="1"/>
    </w:pPr>
    <w:rPr>
      <w:rFonts w:ascii="Arial" w:eastAsia="PMingLiU" w:hAnsi="Arial" w:cs="Times New Roman"/>
      <w:b/>
      <w:bCs/>
      <w:sz w:val="24"/>
      <w:szCs w:val="26"/>
      <w:lang w:val="en-AU"/>
    </w:rPr>
  </w:style>
  <w:style w:type="paragraph" w:customStyle="1" w:styleId="Heading31">
    <w:name w:val="Heading 31"/>
    <w:basedOn w:val="Normal"/>
    <w:next w:val="Normal"/>
    <w:uiPriority w:val="9"/>
    <w:unhideWhenUsed/>
    <w:qFormat/>
    <w:pPr>
      <w:spacing w:before="200" w:after="0" w:line="271" w:lineRule="auto"/>
      <w:outlineLvl w:val="2"/>
    </w:pPr>
    <w:rPr>
      <w:rFonts w:ascii="Arial" w:eastAsia="PMingLiU" w:hAnsi="Arial" w:cs="Times New Roman"/>
      <w:b/>
      <w:bCs/>
      <w:sz w:val="22"/>
      <w:lang w:val="en-AU"/>
    </w:rPr>
  </w:style>
  <w:style w:type="paragraph" w:customStyle="1" w:styleId="Heading51">
    <w:name w:val="Heading 51"/>
    <w:basedOn w:val="Normal"/>
    <w:next w:val="Normal"/>
    <w:uiPriority w:val="9"/>
    <w:semiHidden/>
    <w:unhideWhenUsed/>
    <w:qFormat/>
    <w:pPr>
      <w:spacing w:before="200" w:after="0" w:line="240" w:lineRule="auto"/>
      <w:outlineLvl w:val="4"/>
    </w:pPr>
    <w:rPr>
      <w:rFonts w:ascii="Cambria" w:eastAsia="PMingLiU" w:hAnsi="Cambria" w:cs="Times New Roman"/>
      <w:b/>
      <w:bCs/>
      <w:color w:val="7F7F7F"/>
      <w:sz w:val="22"/>
      <w:lang w:val="en-US"/>
    </w:rPr>
  </w:style>
  <w:style w:type="paragraph" w:customStyle="1" w:styleId="Heading61">
    <w:name w:val="Heading 61"/>
    <w:basedOn w:val="Normal"/>
    <w:next w:val="Normal"/>
    <w:uiPriority w:val="9"/>
    <w:semiHidden/>
    <w:unhideWhenUsed/>
    <w:qFormat/>
    <w:pPr>
      <w:spacing w:after="0" w:line="271" w:lineRule="auto"/>
      <w:outlineLvl w:val="5"/>
    </w:pPr>
    <w:rPr>
      <w:rFonts w:ascii="Cambria" w:eastAsia="PMingLiU" w:hAnsi="Cambria" w:cs="Times New Roman"/>
      <w:b/>
      <w:bCs/>
      <w:i/>
      <w:iCs/>
      <w:color w:val="7F7F7F"/>
      <w:sz w:val="22"/>
      <w:lang w:val="en-US"/>
    </w:rPr>
  </w:style>
  <w:style w:type="paragraph" w:customStyle="1" w:styleId="Heading71">
    <w:name w:val="Heading 71"/>
    <w:basedOn w:val="Normal"/>
    <w:next w:val="Normal"/>
    <w:uiPriority w:val="9"/>
    <w:semiHidden/>
    <w:unhideWhenUsed/>
    <w:qFormat/>
    <w:pPr>
      <w:spacing w:after="0" w:line="240" w:lineRule="auto"/>
      <w:outlineLvl w:val="6"/>
    </w:pPr>
    <w:rPr>
      <w:rFonts w:ascii="Cambria" w:eastAsia="PMingLiU" w:hAnsi="Cambria" w:cs="Times New Roman"/>
      <w:i/>
      <w:iCs/>
      <w:sz w:val="22"/>
      <w:lang w:val="en-US"/>
    </w:rPr>
  </w:style>
  <w:style w:type="paragraph" w:customStyle="1" w:styleId="Heading81">
    <w:name w:val="Heading 81"/>
    <w:basedOn w:val="Normal"/>
    <w:next w:val="Normal"/>
    <w:uiPriority w:val="9"/>
    <w:semiHidden/>
    <w:unhideWhenUsed/>
    <w:qFormat/>
    <w:pPr>
      <w:spacing w:after="0" w:line="240" w:lineRule="auto"/>
      <w:outlineLvl w:val="7"/>
    </w:pPr>
    <w:rPr>
      <w:rFonts w:ascii="Cambria" w:eastAsia="PMingLiU" w:hAnsi="Cambria" w:cs="Times New Roman"/>
      <w:sz w:val="22"/>
      <w:szCs w:val="20"/>
      <w:lang w:val="en-US"/>
    </w:rPr>
  </w:style>
  <w:style w:type="paragraph" w:customStyle="1" w:styleId="Heading91">
    <w:name w:val="Heading 91"/>
    <w:basedOn w:val="Normal"/>
    <w:next w:val="Normal"/>
    <w:uiPriority w:val="9"/>
    <w:semiHidden/>
    <w:unhideWhenUsed/>
    <w:qFormat/>
    <w:pPr>
      <w:spacing w:after="0" w:line="240" w:lineRule="auto"/>
      <w:outlineLvl w:val="8"/>
    </w:pPr>
    <w:rPr>
      <w:rFonts w:ascii="Cambria" w:eastAsia="PMingLiU" w:hAnsi="Cambria" w:cs="Times New Roman"/>
      <w:i/>
      <w:iCs/>
      <w:spacing w:val="5"/>
      <w:sz w:val="22"/>
      <w:szCs w:val="20"/>
      <w:lang w:val="en-US"/>
    </w:rPr>
  </w:style>
  <w:style w:type="paragraph" w:customStyle="1" w:styleId="Caption1">
    <w:name w:val="Caption1"/>
    <w:basedOn w:val="Normal"/>
    <w:next w:val="Normal"/>
    <w:uiPriority w:val="35"/>
    <w:semiHidden/>
    <w:unhideWhenUsed/>
    <w:qFormat/>
    <w:pPr>
      <w:spacing w:after="0" w:line="240" w:lineRule="auto"/>
    </w:pPr>
    <w:rPr>
      <w:rFonts w:ascii="Arial" w:eastAsia="Times New Roman" w:hAnsi="Arial" w:cs="Times New Roman"/>
      <w:b/>
      <w:bCs/>
      <w:color w:val="4F81BD"/>
      <w:sz w:val="18"/>
      <w:szCs w:val="18"/>
      <w:lang w:val="en-US"/>
    </w:rPr>
  </w:style>
  <w:style w:type="paragraph" w:customStyle="1" w:styleId="Title1">
    <w:name w:val="Title1"/>
    <w:basedOn w:val="Normal"/>
    <w:next w:val="Normal"/>
    <w:uiPriority w:val="10"/>
    <w:qFormat/>
    <w:pPr>
      <w:tabs>
        <w:tab w:val="left" w:pos="720"/>
        <w:tab w:val="left" w:pos="1440"/>
        <w:tab w:val="left" w:pos="3710"/>
      </w:tabs>
      <w:spacing w:before="320" w:after="0" w:line="240" w:lineRule="auto"/>
      <w:contextualSpacing/>
    </w:pPr>
    <w:rPr>
      <w:rFonts w:ascii="Arial" w:eastAsia="PMingLiU" w:hAnsi="Arial" w:cs="Times New Roman"/>
      <w:b/>
      <w:bCs/>
      <w:caps/>
      <w:color w:val="C00000"/>
      <w:spacing w:val="5"/>
      <w:sz w:val="32"/>
      <w:szCs w:val="32"/>
      <w:lang w:val="en-US"/>
    </w:rPr>
  </w:style>
  <w:style w:type="paragraph" w:customStyle="1" w:styleId="Subtitle1">
    <w:name w:val="Subtitle1"/>
    <w:basedOn w:val="Normal"/>
    <w:next w:val="Normal"/>
    <w:uiPriority w:val="11"/>
    <w:qFormat/>
    <w:pPr>
      <w:spacing w:after="600" w:line="240" w:lineRule="auto"/>
    </w:pPr>
    <w:rPr>
      <w:rFonts w:ascii="Arial" w:eastAsia="PMingLiU" w:hAnsi="Arial" w:cs="Times New Roman"/>
      <w:b/>
      <w:bCs/>
      <w:iCs/>
      <w:spacing w:val="13"/>
      <w:sz w:val="28"/>
      <w:szCs w:val="28"/>
      <w:lang w:val="en-AU"/>
    </w:rPr>
  </w:style>
  <w:style w:type="paragraph" w:customStyle="1" w:styleId="Quote1">
    <w:name w:val="Quote1"/>
    <w:basedOn w:val="Normal"/>
    <w:next w:val="Normal"/>
    <w:uiPriority w:val="29"/>
    <w:pPr>
      <w:spacing w:before="200" w:after="0" w:line="240" w:lineRule="auto"/>
      <w:ind w:left="360" w:right="360"/>
    </w:pPr>
    <w:rPr>
      <w:rFonts w:ascii="Calibri" w:eastAsia="Times New Roman" w:hAnsi="Calibri" w:cs="Times New Roman"/>
      <w:i/>
      <w:iCs/>
      <w:sz w:val="22"/>
      <w:lang w:val="en-US"/>
    </w:rPr>
  </w:style>
  <w:style w:type="paragraph" w:customStyle="1" w:styleId="NormalWeb1">
    <w:name w:val="Normal (Web)1"/>
    <w:basedOn w:val="Normal"/>
    <w:next w:val="NormalWeb"/>
    <w:uiPriority w:val="99"/>
    <w:unhideWhenUsed/>
    <w:pPr>
      <w:spacing w:before="100" w:beforeAutospacing="1" w:after="100" w:afterAutospacing="1" w:line="240" w:lineRule="auto"/>
    </w:pPr>
    <w:rPr>
      <w:rFonts w:ascii="Times New Roman" w:eastAsia="PMingLiU" w:hAnsi="Times New Roman" w:cs="Times New Roman"/>
      <w:sz w:val="24"/>
      <w:szCs w:val="24"/>
      <w:lang w:eastAsia="en-GB"/>
    </w:rPr>
  </w:style>
  <w:style w:type="numbering" w:customStyle="1" w:styleId="NoList111">
    <w:name w:val="No List111"/>
    <w:next w:val="NoList"/>
    <w:semiHidden/>
  </w:style>
  <w:style w:type="character" w:customStyle="1" w:styleId="Heading2Char1">
    <w:name w:val="Heading 2 Char1"/>
    <w:basedOn w:val="DefaultParagraphFont"/>
    <w:semiHidden/>
    <w:rPr>
      <w:rFonts w:asciiTheme="majorHAnsi" w:eastAsiaTheme="majorEastAsia" w:hAnsiTheme="majorHAnsi" w:cstheme="majorBidi"/>
      <w:b/>
      <w:bCs/>
      <w:color w:val="4F81BD" w:themeColor="accent1"/>
      <w:sz w:val="26"/>
      <w:szCs w:val="26"/>
      <w:lang w:val="en-US" w:eastAsia="en-US"/>
    </w:rPr>
  </w:style>
  <w:style w:type="character" w:customStyle="1" w:styleId="Heading3Char1">
    <w:name w:val="Heading 3 Char1"/>
    <w:basedOn w:val="DefaultParagraphFont"/>
    <w:semiHidden/>
    <w:rPr>
      <w:rFonts w:asciiTheme="majorHAnsi" w:eastAsiaTheme="majorEastAsia" w:hAnsiTheme="majorHAnsi" w:cstheme="majorBidi"/>
      <w:b/>
      <w:bCs/>
      <w:color w:val="4F81BD" w:themeColor="accent1"/>
      <w:sz w:val="22"/>
      <w:szCs w:val="22"/>
      <w:lang w:val="en-US" w:eastAsia="en-US"/>
    </w:rPr>
  </w:style>
  <w:style w:type="character" w:customStyle="1" w:styleId="Heading5Char1">
    <w:name w:val="Heading 5 Char1"/>
    <w:basedOn w:val="DefaultParagraphFont"/>
    <w:semiHidden/>
    <w:rPr>
      <w:rFonts w:asciiTheme="majorHAnsi" w:eastAsiaTheme="majorEastAsia" w:hAnsiTheme="majorHAnsi" w:cstheme="majorBidi"/>
      <w:color w:val="243F60" w:themeColor="accent1" w:themeShade="7F"/>
      <w:sz w:val="22"/>
      <w:szCs w:val="22"/>
      <w:lang w:val="en-US" w:eastAsia="en-US"/>
    </w:rPr>
  </w:style>
  <w:style w:type="character" w:customStyle="1" w:styleId="Heading6Char1">
    <w:name w:val="Heading 6 Char1"/>
    <w:basedOn w:val="DefaultParagraphFont"/>
    <w:semiHidden/>
    <w:rPr>
      <w:rFonts w:asciiTheme="majorHAnsi" w:eastAsiaTheme="majorEastAsia" w:hAnsiTheme="majorHAnsi" w:cstheme="majorBidi"/>
      <w:i/>
      <w:iCs/>
      <w:color w:val="243F60" w:themeColor="accent1" w:themeShade="7F"/>
      <w:sz w:val="22"/>
      <w:szCs w:val="22"/>
      <w:lang w:val="en-US" w:eastAsia="en-US"/>
    </w:rPr>
  </w:style>
  <w:style w:type="character" w:customStyle="1" w:styleId="Heading7Char1">
    <w:name w:val="Heading 7 Char1"/>
    <w:basedOn w:val="DefaultParagraphFont"/>
    <w:semiHidden/>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1">
    <w:name w:val="Heading 8 Char1"/>
    <w:basedOn w:val="DefaultParagraphFont"/>
    <w:semiHidden/>
    <w:rPr>
      <w:rFonts w:asciiTheme="majorHAnsi" w:eastAsiaTheme="majorEastAsia" w:hAnsiTheme="majorHAnsi" w:cstheme="majorBidi"/>
      <w:color w:val="404040" w:themeColor="text1" w:themeTint="BF"/>
      <w:lang w:val="en-US" w:eastAsia="en-US"/>
    </w:rPr>
  </w:style>
  <w:style w:type="character" w:customStyle="1" w:styleId="Heading9Char1">
    <w:name w:val="Heading 9 Char1"/>
    <w:basedOn w:val="DefaultParagraphFont"/>
    <w:semiHidden/>
    <w:rPr>
      <w:rFonts w:asciiTheme="majorHAnsi" w:eastAsiaTheme="majorEastAsia" w:hAnsiTheme="majorHAnsi" w:cstheme="majorBidi"/>
      <w:i/>
      <w:iCs/>
      <w:color w:val="404040" w:themeColor="text1" w:themeTint="BF"/>
      <w:lang w:val="en-US" w:eastAsia="en-US"/>
    </w:rPr>
  </w:style>
  <w:style w:type="character" w:customStyle="1" w:styleId="TitleChar1">
    <w:name w:val="Title Char1"/>
    <w:basedOn w:val="DefaultParagraphFont"/>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SubtitleChar1">
    <w:name w:val="Subtitle Char1"/>
    <w:basedOn w:val="DefaultParagraphFont"/>
    <w:rPr>
      <w:rFonts w:asciiTheme="majorHAnsi" w:eastAsiaTheme="majorEastAsia" w:hAnsiTheme="majorHAnsi" w:cstheme="majorBidi"/>
      <w:i/>
      <w:iCs/>
      <w:color w:val="4F81BD" w:themeColor="accent1"/>
      <w:spacing w:val="15"/>
      <w:sz w:val="24"/>
      <w:szCs w:val="24"/>
      <w:lang w:val="en-US" w:eastAsia="en-US"/>
    </w:rPr>
  </w:style>
  <w:style w:type="character" w:customStyle="1" w:styleId="QuoteChar1">
    <w:name w:val="Quote Char1"/>
    <w:basedOn w:val="DefaultParagraphFont"/>
    <w:uiPriority w:val="29"/>
    <w:rPr>
      <w:rFonts w:ascii="Arial" w:hAnsi="Arial"/>
      <w:i/>
      <w:iCs/>
      <w:color w:val="000000" w:themeColor="text1"/>
      <w:sz w:val="22"/>
      <w:szCs w:val="22"/>
      <w:lang w:val="en-US" w:eastAsia="en-US"/>
    </w:rPr>
  </w:style>
  <w:style w:type="numbering" w:customStyle="1" w:styleId="NoList4">
    <w:name w:val="No List4"/>
    <w:next w:val="NoList"/>
    <w:uiPriority w:val="99"/>
    <w:semiHidden/>
    <w:unhideWhenUsed/>
  </w:style>
  <w:style w:type="paragraph" w:customStyle="1" w:styleId="Caption2">
    <w:name w:val="Caption2"/>
    <w:basedOn w:val="Normal"/>
    <w:next w:val="Normal"/>
    <w:uiPriority w:val="35"/>
    <w:semiHidden/>
    <w:unhideWhenUsed/>
    <w:qFormat/>
    <w:pPr>
      <w:spacing w:after="0" w:line="240" w:lineRule="auto"/>
    </w:pPr>
    <w:rPr>
      <w:rFonts w:ascii="Arial" w:eastAsia="Times New Roman" w:hAnsi="Arial" w:cs="Times New Roman"/>
      <w:b/>
      <w:bCs/>
      <w:color w:val="4F81BD"/>
      <w:sz w:val="18"/>
      <w:szCs w:val="18"/>
      <w:lang w:val="en-US"/>
    </w:rPr>
  </w:style>
  <w:style w:type="numbering" w:customStyle="1" w:styleId="NoList12">
    <w:name w:val="No List12"/>
    <w:next w:val="NoList"/>
    <w:semiHidden/>
  </w:style>
  <w:style w:type="numbering" w:customStyle="1" w:styleId="NoList21">
    <w:name w:val="No List21"/>
    <w:next w:val="NoList"/>
    <w:semiHidden/>
  </w:style>
  <w:style w:type="numbering" w:customStyle="1" w:styleId="NoList31">
    <w:name w:val="No List31"/>
    <w:next w:val="NoList"/>
    <w:semiHidden/>
  </w:style>
  <w:style w:type="table" w:customStyle="1" w:styleId="TableGrid11">
    <w:name w:val="Table Grid1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Section"/>
    <w:pPr>
      <w:pageBreakBefore/>
      <w:numPr>
        <w:numId w:val="4"/>
      </w:numPr>
      <w:overflowPunct w:val="0"/>
      <w:autoSpaceDE w:val="0"/>
      <w:autoSpaceDN w:val="0"/>
      <w:adjustRightInd w:val="0"/>
      <w:spacing w:before="80" w:after="100" w:line="260" w:lineRule="atLeast"/>
      <w:textAlignment w:val="baseline"/>
      <w:outlineLvl w:val="0"/>
    </w:pPr>
    <w:rPr>
      <w:rFonts w:ascii="Arial" w:eastAsia="Times New Roman" w:hAnsi="Arial" w:cs="Times New Roman"/>
      <w:b/>
      <w:caps/>
      <w:sz w:val="28"/>
      <w:szCs w:val="20"/>
    </w:rPr>
  </w:style>
  <w:style w:type="paragraph" w:customStyle="1" w:styleId="Section">
    <w:name w:val="Section"/>
    <w:basedOn w:val="Normal"/>
    <w:next w:val="Normal"/>
    <w:link w:val="SectionChar"/>
    <w:pPr>
      <w:numPr>
        <w:ilvl w:val="1"/>
        <w:numId w:val="4"/>
      </w:numPr>
      <w:overflowPunct w:val="0"/>
      <w:autoSpaceDE w:val="0"/>
      <w:autoSpaceDN w:val="0"/>
      <w:adjustRightInd w:val="0"/>
      <w:spacing w:before="80" w:after="100" w:line="260" w:lineRule="atLeast"/>
      <w:textAlignment w:val="baseline"/>
      <w:outlineLvl w:val="1"/>
    </w:pPr>
    <w:rPr>
      <w:rFonts w:ascii="Arial" w:eastAsia="Times New Roman" w:hAnsi="Arial" w:cs="Times New Roman"/>
      <w:b/>
      <w:sz w:val="28"/>
      <w:szCs w:val="20"/>
    </w:rPr>
  </w:style>
  <w:style w:type="character" w:customStyle="1" w:styleId="SectionChar">
    <w:name w:val="Section Char"/>
    <w:link w:val="Section"/>
    <w:rPr>
      <w:rFonts w:ascii="Arial" w:eastAsia="Times New Roman" w:hAnsi="Arial" w:cs="Times New Roman"/>
      <w:b/>
      <w:sz w:val="28"/>
      <w:szCs w:val="20"/>
    </w:rPr>
  </w:style>
  <w:style w:type="character" w:customStyle="1" w:styleId="subparatext">
    <w:name w:val="subparatext"/>
    <w:rPr>
      <w:sz w:val="22"/>
      <w:szCs w:val="22"/>
      <w:shd w:val="clear" w:color="auto" w:fill="FFFFFF"/>
    </w:rPr>
  </w:style>
  <w:style w:type="character" w:customStyle="1" w:styleId="me">
    <w:name w:val="me"/>
    <w:basedOn w:val="DefaultParagraphFont"/>
  </w:style>
  <w:style w:type="character" w:customStyle="1" w:styleId="DocID">
    <w:name w:val="DocID"/>
    <w:basedOn w:val="DefaultParagraphFont"/>
    <w:rPr>
      <w:rFonts w:ascii="Arial" w:eastAsia="Times New Roman" w:hAnsi="Arial" w:cs="Arial"/>
      <w:b w:val="0"/>
      <w:i w:val="0"/>
      <w:caps w:val="0"/>
      <w:vanish w:val="0"/>
      <w:color w:val="000000"/>
      <w:sz w:val="16"/>
      <w:szCs w:val="20"/>
      <w:u w:val="none"/>
      <w:lang w:val="en-US"/>
    </w:rPr>
  </w:style>
  <w:style w:type="paragraph" w:styleId="BodyText">
    <w:name w:val="Body Text"/>
    <w:basedOn w:val="Normal"/>
    <w:link w:val="BodyTextChar"/>
    <w:uiPriority w:val="1"/>
    <w:qFormat/>
    <w:rsid w:val="004D0891"/>
    <w:pPr>
      <w:widowControl w:val="0"/>
      <w:spacing w:after="0" w:line="240" w:lineRule="auto"/>
      <w:ind w:left="2739" w:hanging="720"/>
    </w:pPr>
    <w:rPr>
      <w:rFonts w:ascii="Arial" w:eastAsia="Arial" w:hAnsi="Arial"/>
      <w:sz w:val="22"/>
      <w:lang w:val="en-US"/>
    </w:rPr>
  </w:style>
  <w:style w:type="character" w:customStyle="1" w:styleId="BodyTextChar">
    <w:name w:val="Body Text Char"/>
    <w:basedOn w:val="DefaultParagraphFont"/>
    <w:link w:val="BodyText"/>
    <w:uiPriority w:val="1"/>
    <w:rsid w:val="004D0891"/>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sahandbook.info/FSA/glossary.jsp?doc=glossary\glossary&amp;gloss=G1230" TargetMode="External"/><Relationship Id="rId21" Type="http://schemas.openxmlformats.org/officeDocument/2006/relationships/hyperlink" Target="http://fsahandbook.info/FSA/glossary.jsp?doc=glossary\glossary&amp;gloss=G1049" TargetMode="External"/><Relationship Id="rId42" Type="http://schemas.openxmlformats.org/officeDocument/2006/relationships/hyperlink" Target="http://fsahandbook.info/FSA/glossary.jsp?doc=glossary\glossary&amp;gloss=G86" TargetMode="External"/><Relationship Id="rId47" Type="http://schemas.openxmlformats.org/officeDocument/2006/relationships/hyperlink" Target="http://fsahandbook.info/FSA/glossary.jsp?doc=glossary\glossary&amp;gloss=G869" TargetMode="External"/><Relationship Id="rId63" Type="http://schemas.openxmlformats.org/officeDocument/2006/relationships/hyperlink" Target="http://fsahandbook.info/FSA/glossary.jsp?doc=glossary\glossary&amp;gloss=G1230" TargetMode="External"/><Relationship Id="rId68" Type="http://schemas.openxmlformats.org/officeDocument/2006/relationships/hyperlink" Target="http://fsahandbook.info/FSA/glossary.jsp?doc=glossary\glossary&amp;gloss=G1230" TargetMode="External"/><Relationship Id="rId84" Type="http://schemas.openxmlformats.org/officeDocument/2006/relationships/hyperlink" Target="http://fsahandbook.info/FSA/glossary.jsp?doc=glossary\glossary&amp;gloss=G904" TargetMode="External"/><Relationship Id="rId89" Type="http://schemas.openxmlformats.org/officeDocument/2006/relationships/hyperlink" Target="http://fsahandbook.info/FSA/glossary.jsp?doc=glossary\glossary&amp;gloss=G964" TargetMode="External"/><Relationship Id="rId112" Type="http://schemas.openxmlformats.org/officeDocument/2006/relationships/header" Target="header1.xml"/><Relationship Id="rId16" Type="http://schemas.openxmlformats.org/officeDocument/2006/relationships/hyperlink" Target="http://fsahandbook.info/FSA/glossary.jsp?doc=glossary\glossary&amp;gloss=G1233" TargetMode="External"/><Relationship Id="rId107" Type="http://schemas.openxmlformats.org/officeDocument/2006/relationships/hyperlink" Target="http://fsahandbook.info/FSA/glossary.jsp?doc=glossary\glossary&amp;gloss=G1222" TargetMode="External"/><Relationship Id="rId11" Type="http://schemas.openxmlformats.org/officeDocument/2006/relationships/hyperlink" Target="http://fsahandbook.info/FSA/glossary.jsp?doc=glossary\glossary&amp;gloss=G86" TargetMode="External"/><Relationship Id="rId24" Type="http://schemas.openxmlformats.org/officeDocument/2006/relationships/hyperlink" Target="http://fsahandbook.info/FSA/glossary.jsp?doc=glossary\glossary&amp;gloss=G1043" TargetMode="External"/><Relationship Id="rId32" Type="http://schemas.openxmlformats.org/officeDocument/2006/relationships/hyperlink" Target="http://fsahandbook.info/FSA/glossary.jsp?doc=glossary\glossary&amp;gloss=G1230" TargetMode="External"/><Relationship Id="rId37" Type="http://schemas.openxmlformats.org/officeDocument/2006/relationships/hyperlink" Target="http://fsahandbook.info/FSA/glossary.jsp?doc=glossary\glossary&amp;gloss=G1233" TargetMode="External"/><Relationship Id="rId40" Type="http://schemas.openxmlformats.org/officeDocument/2006/relationships/hyperlink" Target="http://fsahandbook.info/FSA/glossary.jsp?doc=glossary\glossary&amp;gloss=G296" TargetMode="External"/><Relationship Id="rId45" Type="http://schemas.openxmlformats.org/officeDocument/2006/relationships/hyperlink" Target="http://fsahandbook.info/FSA/glossary.jsp?doc=glossary\glossary&amp;gloss=G1233" TargetMode="External"/><Relationship Id="rId53" Type="http://schemas.openxmlformats.org/officeDocument/2006/relationships/hyperlink" Target="http://fsahandbook.info/FSA/glossary.jsp?doc=glossary\glossary&amp;gloss=G1013" TargetMode="External"/><Relationship Id="rId58" Type="http://schemas.openxmlformats.org/officeDocument/2006/relationships/hyperlink" Target="http://fsahandbook.info/FSA/glossary.jsp?doc=glossary\glossary&amp;gloss=G262" TargetMode="External"/><Relationship Id="rId66" Type="http://schemas.openxmlformats.org/officeDocument/2006/relationships/hyperlink" Target="http://fsahandbook.info/FSA/glossary.jsp?doc=glossary\glossary&amp;gloss=G964" TargetMode="External"/><Relationship Id="rId74" Type="http://schemas.openxmlformats.org/officeDocument/2006/relationships/hyperlink" Target="http://fsahandbook.info/FSA/glossary.jsp?doc=glossary\glossary&amp;gloss=G625" TargetMode="External"/><Relationship Id="rId79" Type="http://schemas.openxmlformats.org/officeDocument/2006/relationships/hyperlink" Target="http://fsahandbook.info/FSA/glossary.jsp?doc=glossary\glossary&amp;gloss=G904" TargetMode="External"/><Relationship Id="rId87" Type="http://schemas.openxmlformats.org/officeDocument/2006/relationships/hyperlink" Target="http://fsahandbook.info/FSA/glossary.jsp?doc=glossary\glossary&amp;gloss=G904" TargetMode="External"/><Relationship Id="rId102" Type="http://schemas.openxmlformats.org/officeDocument/2006/relationships/hyperlink" Target="http://fsahandbook.info/FSA/glossary.jsp?doc=glossary\glossary&amp;gloss=G1140" TargetMode="External"/><Relationship Id="rId110" Type="http://schemas.openxmlformats.org/officeDocument/2006/relationships/hyperlink" Target="http://fsahandbook.info/FSA/glossary.jsp?doc=glossary\glossary&amp;gloss=G1140"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fsahandbook.info/FSA/glossary.jsp?doc=glossary\glossary&amp;gloss=G1040" TargetMode="External"/><Relationship Id="rId82" Type="http://schemas.openxmlformats.org/officeDocument/2006/relationships/hyperlink" Target="http://fsahandbook.info/FSA/glossary.jsp?doc=glossary\glossary&amp;gloss=G1043" TargetMode="External"/><Relationship Id="rId90" Type="http://schemas.openxmlformats.org/officeDocument/2006/relationships/hyperlink" Target="http://fsahandbook.info/FSA/glossary.jsp?doc=glossary\glossary&amp;gloss=G1043" TargetMode="External"/><Relationship Id="rId95" Type="http://schemas.openxmlformats.org/officeDocument/2006/relationships/hyperlink" Target="http://fsahandbook.info/FSA/glossary.jsp?doc=glossary\glossary&amp;gloss=G964" TargetMode="External"/><Relationship Id="rId19" Type="http://schemas.openxmlformats.org/officeDocument/2006/relationships/hyperlink" Target="http://fsahandbook.info/FSA/glossary.jsp?doc=glossary\glossary&amp;gloss=G86" TargetMode="External"/><Relationship Id="rId14" Type="http://schemas.openxmlformats.org/officeDocument/2006/relationships/hyperlink" Target="http://fsahandbook.info/FSA/glossary.jsp?doc=glossary\glossary&amp;gloss=G86" TargetMode="External"/><Relationship Id="rId22" Type="http://schemas.openxmlformats.org/officeDocument/2006/relationships/hyperlink" Target="http://fsahandbook.info/FSA/glossary.jsp?doc=glossary\glossary&amp;gloss=G1230" TargetMode="External"/><Relationship Id="rId27" Type="http://schemas.openxmlformats.org/officeDocument/2006/relationships/hyperlink" Target="http://fsahandbook.info/FSA/glossary.jsp?doc=glossary\glossary&amp;gloss=G625" TargetMode="External"/><Relationship Id="rId30" Type="http://schemas.openxmlformats.org/officeDocument/2006/relationships/hyperlink" Target="http://fsahandbook.info/FSA/glossary.jsp?doc=glossary\glossary&amp;gloss=G964" TargetMode="External"/><Relationship Id="rId35" Type="http://schemas.openxmlformats.org/officeDocument/2006/relationships/hyperlink" Target="http://fsahandbook.info/FSA/glossary.jsp?doc=glossary\glossary&amp;gloss=G501" TargetMode="External"/><Relationship Id="rId43" Type="http://schemas.openxmlformats.org/officeDocument/2006/relationships/hyperlink" Target="http://fsahandbook.info/FSA/glossary.jsp?doc=glossary\glossary&amp;gloss=G968" TargetMode="External"/><Relationship Id="rId48" Type="http://schemas.openxmlformats.org/officeDocument/2006/relationships/hyperlink" Target="http://fsahandbook.info/FSA/glossary.jsp?doc=glossary\glossary&amp;gloss=G1013" TargetMode="External"/><Relationship Id="rId56" Type="http://schemas.openxmlformats.org/officeDocument/2006/relationships/hyperlink" Target="http://fsahandbook.info/FSA/glossary.jsp?doc=glossary\glossary&amp;gloss=G1013" TargetMode="External"/><Relationship Id="rId64" Type="http://schemas.openxmlformats.org/officeDocument/2006/relationships/hyperlink" Target="http://fsahandbook.info/FSA/glossary.jsp?doc=glossary\glossary&amp;gloss=G1233" TargetMode="External"/><Relationship Id="rId69" Type="http://schemas.openxmlformats.org/officeDocument/2006/relationships/hyperlink" Target="http://fsahandbook.info/FSA/glossary.jsp?doc=glossary\glossary&amp;gloss=G86" TargetMode="External"/><Relationship Id="rId77" Type="http://schemas.openxmlformats.org/officeDocument/2006/relationships/hyperlink" Target="http://fsahandbook.info/FSA/glossary.jsp?doc=glossary\glossary&amp;gloss=G259" TargetMode="External"/><Relationship Id="rId100" Type="http://schemas.openxmlformats.org/officeDocument/2006/relationships/hyperlink" Target="http://fsahandbook.info/FSA/glossary.jsp?doc=glossary\glossary&amp;gloss=G1140" TargetMode="External"/><Relationship Id="rId105" Type="http://schemas.openxmlformats.org/officeDocument/2006/relationships/hyperlink" Target="http://fsahandbook.info/FSA/glossary.jsp?doc=glossary\glossary&amp;gloss=G1230" TargetMode="External"/><Relationship Id="rId113" Type="http://schemas.openxmlformats.org/officeDocument/2006/relationships/footer" Target="footer1.xml"/><Relationship Id="rId8" Type="http://schemas.openxmlformats.org/officeDocument/2006/relationships/hyperlink" Target="http://fsahandbook.info/FSA/glossary.jsp?doc=glossary\glossary&amp;gloss=G924" TargetMode="External"/><Relationship Id="rId51" Type="http://schemas.openxmlformats.org/officeDocument/2006/relationships/hyperlink" Target="http://fsahandbook.info/FSA/glossary.jsp?doc=glossary\glossary&amp;gloss=G1013" TargetMode="External"/><Relationship Id="rId72" Type="http://schemas.openxmlformats.org/officeDocument/2006/relationships/hyperlink" Target="http://fsahandbook.info/FSA/glossary.jsp?doc=glossary\glossary&amp;gloss=G964" TargetMode="External"/><Relationship Id="rId80" Type="http://schemas.openxmlformats.org/officeDocument/2006/relationships/hyperlink" Target="http://fsahandbook.info/FSA/glossary.jsp?doc=glossary\glossary&amp;gloss=G1230" TargetMode="External"/><Relationship Id="rId85" Type="http://schemas.openxmlformats.org/officeDocument/2006/relationships/hyperlink" Target="http://fsahandbook.info/FSA/glossary.jsp?doc=glossary\glossary&amp;gloss=G152" TargetMode="External"/><Relationship Id="rId93" Type="http://schemas.openxmlformats.org/officeDocument/2006/relationships/hyperlink" Target="http://fsahandbook.info/FSA/glossary.jsp?doc=glossary\glossary&amp;gloss=G1230" TargetMode="External"/><Relationship Id="rId98" Type="http://schemas.openxmlformats.org/officeDocument/2006/relationships/hyperlink" Target="http://fsahandbook.info/FSA/glossary.jsp?doc=glossary\glossary&amp;gloss=G1140" TargetMode="External"/><Relationship Id="rId3" Type="http://schemas.openxmlformats.org/officeDocument/2006/relationships/settings" Target="settings.xml"/><Relationship Id="rId12" Type="http://schemas.openxmlformats.org/officeDocument/2006/relationships/hyperlink" Target="http://fsahandbook.info/FSA/glossary.jsp?doc=glossary\glossary&amp;gloss=G1233" TargetMode="External"/><Relationship Id="rId17" Type="http://schemas.openxmlformats.org/officeDocument/2006/relationships/hyperlink" Target="http://fsahandbook.info/FSA/glossary.jsp?doc=glossary\glossary&amp;gloss=G86" TargetMode="External"/><Relationship Id="rId25" Type="http://schemas.openxmlformats.org/officeDocument/2006/relationships/hyperlink" Target="http://fsahandbook.info/FSA/glossary.jsp?doc=glossary\glossary&amp;gloss=G152" TargetMode="External"/><Relationship Id="rId33" Type="http://schemas.openxmlformats.org/officeDocument/2006/relationships/hyperlink" Target="http://fsahandbook.info/FSA/glossary.jsp?doc=glossary\glossary&amp;gloss=G152" TargetMode="External"/><Relationship Id="rId38" Type="http://schemas.openxmlformats.org/officeDocument/2006/relationships/hyperlink" Target="http://fsahandbook.info/FSA/glossary.jsp?doc=glossary\glossary&amp;gloss=G296" TargetMode="External"/><Relationship Id="rId46" Type="http://schemas.openxmlformats.org/officeDocument/2006/relationships/hyperlink" Target="http://fsahandbook.info/FSA/glossary.jsp?doc=glossary\glossary&amp;gloss=G1049" TargetMode="External"/><Relationship Id="rId59" Type="http://schemas.openxmlformats.org/officeDocument/2006/relationships/hyperlink" Target="http://fsahandbook.info/FSA/glossary.jsp?doc=glossary\glossary&amp;gloss=G1040" TargetMode="External"/><Relationship Id="rId67" Type="http://schemas.openxmlformats.org/officeDocument/2006/relationships/hyperlink" Target="http://fsahandbook.info/FSA/glossary.jsp?doc=glossary\glossary&amp;gloss=G1230" TargetMode="External"/><Relationship Id="rId103" Type="http://schemas.openxmlformats.org/officeDocument/2006/relationships/hyperlink" Target="http://fsahandbook.info/FSA/glossary.jsp?doc=glossary\glossary&amp;gloss=G1049" TargetMode="External"/><Relationship Id="rId108" Type="http://schemas.openxmlformats.org/officeDocument/2006/relationships/hyperlink" Target="http://fsahandbook.info/FSA/glossary.jsp?doc=glossary\glossary&amp;gloss=G1140" TargetMode="External"/><Relationship Id="rId20" Type="http://schemas.openxmlformats.org/officeDocument/2006/relationships/hyperlink" Target="http://fsahandbook.info/FSA/glossary.jsp?doc=glossary\glossary&amp;gloss=G1049" TargetMode="External"/><Relationship Id="rId41" Type="http://schemas.openxmlformats.org/officeDocument/2006/relationships/hyperlink" Target="http://fsahandbook.info/FSA/glossary.jsp?doc=glossary\glossary&amp;gloss=G589" TargetMode="External"/><Relationship Id="rId54" Type="http://schemas.openxmlformats.org/officeDocument/2006/relationships/hyperlink" Target="http://fsahandbook.info/FSA/glossary.jsp?doc=glossary\glossary&amp;gloss=G131" TargetMode="External"/><Relationship Id="rId62" Type="http://schemas.openxmlformats.org/officeDocument/2006/relationships/hyperlink" Target="http://fsahandbook.info/FSA/glossary.jsp?doc=glossary\glossary&amp;gloss=G964" TargetMode="External"/><Relationship Id="rId70" Type="http://schemas.openxmlformats.org/officeDocument/2006/relationships/hyperlink" Target="http://fsahandbook.info/FSA/glossary.jsp?doc=glossary\glossary&amp;gloss=G869" TargetMode="External"/><Relationship Id="rId75" Type="http://schemas.openxmlformats.org/officeDocument/2006/relationships/hyperlink" Target="http://fsahandbook.info/FSA/glossary.jsp?doc=glossary\glossary&amp;gloss=G1230" TargetMode="External"/><Relationship Id="rId83" Type="http://schemas.openxmlformats.org/officeDocument/2006/relationships/hyperlink" Target="http://fsahandbook.info/FSA/glossary.jsp?doc=glossary\glossary&amp;gloss=G1043" TargetMode="External"/><Relationship Id="rId88" Type="http://schemas.openxmlformats.org/officeDocument/2006/relationships/hyperlink" Target="http://fsahandbook.info/FSA/glossary.jsp?doc=glossary\glossary&amp;gloss=G1040" TargetMode="External"/><Relationship Id="rId91" Type="http://schemas.openxmlformats.org/officeDocument/2006/relationships/hyperlink" Target="http://fsahandbook.info/FSA/glossary.jsp?doc=glossary\glossary&amp;gloss=G1233" TargetMode="External"/><Relationship Id="rId96" Type="http://schemas.openxmlformats.org/officeDocument/2006/relationships/hyperlink" Target="http://fsahandbook.info/FSA/glossary.jsp?doc=glossary\glossary&amp;gloss=G1040" TargetMode="External"/><Relationship Id="rId111" Type="http://schemas.openxmlformats.org/officeDocument/2006/relationships/hyperlink" Target="http://fsahandbook.info/FSA/glossary.jsp?doc=glossary\glossary&amp;gloss=G114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fsahandbook.info/FSA/glossary.jsp?doc=glossary\glossary&amp;gloss=G1233" TargetMode="External"/><Relationship Id="rId23" Type="http://schemas.openxmlformats.org/officeDocument/2006/relationships/hyperlink" Target="http://fsahandbook.info/FSA/glossary.jsp?doc=glossary\glossary&amp;gloss=G76" TargetMode="External"/><Relationship Id="rId28" Type="http://schemas.openxmlformats.org/officeDocument/2006/relationships/hyperlink" Target="http://fsahandbook.info/FSA/glossary.jsp?doc=glossary\glossary&amp;gloss=G152" TargetMode="External"/><Relationship Id="rId36" Type="http://schemas.openxmlformats.org/officeDocument/2006/relationships/hyperlink" Target="http://fsahandbook.info/FSA/glossary.jsp?doc=glossary\glossary&amp;gloss=G501" TargetMode="External"/><Relationship Id="rId49" Type="http://schemas.openxmlformats.org/officeDocument/2006/relationships/hyperlink" Target="http://fsahandbook.info/FSA/glossary.jsp?doc=glossary\glossary&amp;gloss=G1013" TargetMode="External"/><Relationship Id="rId57" Type="http://schemas.openxmlformats.org/officeDocument/2006/relationships/hyperlink" Target="http://fsahandbook.info/FSA/glossary.jsp?doc=glossary\glossary&amp;gloss=G262" TargetMode="External"/><Relationship Id="rId106" Type="http://schemas.openxmlformats.org/officeDocument/2006/relationships/hyperlink" Target="http://fsahandbook.info/FSA/glossary.jsp?doc=glossary\glossary&amp;gloss=G103" TargetMode="External"/><Relationship Id="rId114" Type="http://schemas.openxmlformats.org/officeDocument/2006/relationships/fontTable" Target="fontTable.xml"/><Relationship Id="rId10" Type="http://schemas.openxmlformats.org/officeDocument/2006/relationships/hyperlink" Target="http://fsahandbook.info/FSA/glossary.jsp?doc=glossary\glossary&amp;gloss=G86" TargetMode="External"/><Relationship Id="rId31" Type="http://schemas.openxmlformats.org/officeDocument/2006/relationships/hyperlink" Target="http://fsahandbook.info/FSA/glossary.jsp?doc=glossary\glossary&amp;gloss=G124" TargetMode="External"/><Relationship Id="rId44" Type="http://schemas.openxmlformats.org/officeDocument/2006/relationships/hyperlink" Target="http://fsahandbook.info/FSA/glossary.jsp?doc=glossary\glossary&amp;gloss=G1233" TargetMode="External"/><Relationship Id="rId52" Type="http://schemas.openxmlformats.org/officeDocument/2006/relationships/hyperlink" Target="http://fsahandbook.info/FSA/glossary.jsp?doc=glossary\glossary&amp;gloss=G1233" TargetMode="External"/><Relationship Id="rId60" Type="http://schemas.openxmlformats.org/officeDocument/2006/relationships/hyperlink" Target="http://fsahandbook.info/FSA/glossary.jsp?doc=glossary\glossary&amp;gloss=G964" TargetMode="External"/><Relationship Id="rId65" Type="http://schemas.openxmlformats.org/officeDocument/2006/relationships/hyperlink" Target="http://fsahandbook.info/FSA/glossary.jsp?doc=glossary\glossary&amp;gloss=G1230" TargetMode="External"/><Relationship Id="rId73" Type="http://schemas.openxmlformats.org/officeDocument/2006/relationships/hyperlink" Target="http://fsahandbook.info/FSA/glossary.jsp?doc=glossary\glossary&amp;gloss=G1230" TargetMode="External"/><Relationship Id="rId78" Type="http://schemas.openxmlformats.org/officeDocument/2006/relationships/hyperlink" Target="http://fsahandbook.info/FSA/glossary.jsp?doc=glossary\glossary&amp;gloss=G1049" TargetMode="External"/><Relationship Id="rId81" Type="http://schemas.openxmlformats.org/officeDocument/2006/relationships/hyperlink" Target="http://fsahandbook.info/FSA/glossary.jsp?doc=glossary\glossary&amp;gloss=G1043" TargetMode="External"/><Relationship Id="rId86" Type="http://schemas.openxmlformats.org/officeDocument/2006/relationships/hyperlink" Target="http://fsahandbook.info/FSA/glossary.jsp?doc=glossary\glossary&amp;gloss=G499" TargetMode="External"/><Relationship Id="rId94" Type="http://schemas.openxmlformats.org/officeDocument/2006/relationships/hyperlink" Target="http://fsahandbook.info/FSA/glossary.jsp?doc=glossary\glossary&amp;gloss=G1140" TargetMode="External"/><Relationship Id="rId99" Type="http://schemas.openxmlformats.org/officeDocument/2006/relationships/hyperlink" Target="http://fsahandbook.info/FSA/glossary.jsp?doc=glossary\glossary&amp;gloss=G1140" TargetMode="External"/><Relationship Id="rId101" Type="http://schemas.openxmlformats.org/officeDocument/2006/relationships/hyperlink" Target="http://fsahandbook.info/FSA/glossary.jsp?doc=glossary\glossary&amp;gloss=G1049" TargetMode="External"/><Relationship Id="rId4" Type="http://schemas.openxmlformats.org/officeDocument/2006/relationships/webSettings" Target="webSettings.xml"/><Relationship Id="rId9" Type="http://schemas.openxmlformats.org/officeDocument/2006/relationships/hyperlink" Target="http://fsahandbook.info/FSA/glossary.jsp?doc=glossary\glossary&amp;gloss=G86" TargetMode="External"/><Relationship Id="rId13" Type="http://schemas.openxmlformats.org/officeDocument/2006/relationships/hyperlink" Target="http://fsahandbook.info/FSA/glossary.jsp?doc=glossary\glossary&amp;gloss=G103" TargetMode="External"/><Relationship Id="rId18" Type="http://schemas.openxmlformats.org/officeDocument/2006/relationships/hyperlink" Target="http://fsahandbook.info/FSA/glossary.jsp?doc=glossary\glossary&amp;gloss=G1049" TargetMode="External"/><Relationship Id="rId39" Type="http://schemas.openxmlformats.org/officeDocument/2006/relationships/hyperlink" Target="http://fsahandbook.info/FSA/glossary.jsp?doc=glossary\glossary&amp;gloss=G1013" TargetMode="External"/><Relationship Id="rId109" Type="http://schemas.openxmlformats.org/officeDocument/2006/relationships/hyperlink" Target="http://fsahandbook.info/FSA/glossary.jsp?doc=glossary\glossary&amp;gloss=G1140" TargetMode="External"/><Relationship Id="rId34" Type="http://schemas.openxmlformats.org/officeDocument/2006/relationships/hyperlink" Target="http://fsahandbook.info/FSA/glossary.jsp?doc=glossary\glossary&amp;gloss=G1143" TargetMode="External"/><Relationship Id="rId50" Type="http://schemas.openxmlformats.org/officeDocument/2006/relationships/hyperlink" Target="http://fsahandbook.info/FSA/glossary.jsp?doc=glossary\glossary&amp;gloss=G1013" TargetMode="External"/><Relationship Id="rId55" Type="http://schemas.openxmlformats.org/officeDocument/2006/relationships/hyperlink" Target="http://fsahandbook.info/FSA/glossary.jsp?doc=glossary\glossary&amp;gloss=G1049" TargetMode="External"/><Relationship Id="rId76" Type="http://schemas.openxmlformats.org/officeDocument/2006/relationships/hyperlink" Target="http://fsahandbook.info/FSA/glossary.jsp?doc=glossary\glossary&amp;gloss=G152" TargetMode="External"/><Relationship Id="rId97" Type="http://schemas.openxmlformats.org/officeDocument/2006/relationships/hyperlink" Target="http://fsahandbook.info/FSA/glossary.jsp?doc=glossary\glossary&amp;gloss=G1230" TargetMode="External"/><Relationship Id="rId104" Type="http://schemas.openxmlformats.org/officeDocument/2006/relationships/hyperlink" Target="http://fsahandbook.info/FSA/glossary.jsp?doc=glossary\glossary&amp;gloss=G904" TargetMode="External"/><Relationship Id="rId7" Type="http://schemas.openxmlformats.org/officeDocument/2006/relationships/hyperlink" Target="mailto:DFSAfunds@dfsa.ae" TargetMode="External"/><Relationship Id="rId71" Type="http://schemas.openxmlformats.org/officeDocument/2006/relationships/hyperlink" Target="http://fsahandbook.info/FSA/glossary.jsp?doc=glossary\glossary&amp;gloss=G1040" TargetMode="External"/><Relationship Id="rId92" Type="http://schemas.openxmlformats.org/officeDocument/2006/relationships/hyperlink" Target="http://fsahandbook.info/FSA/glossary.jsp?doc=glossary\glossary&amp;gloss=G1140" TargetMode="External"/><Relationship Id="rId2" Type="http://schemas.openxmlformats.org/officeDocument/2006/relationships/styles" Target="styles.xml"/><Relationship Id="rId29" Type="http://schemas.openxmlformats.org/officeDocument/2006/relationships/hyperlink" Target="http://fsahandbook.info/FSA/glossary.jsp?doc=glossary\glossary&amp;gloss=G12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3587</Words>
  <Characters>30324</Characters>
  <Application>Microsoft Office Word</Application>
  <DocSecurity>4</DocSecurity>
  <Lines>252</Lines>
  <Paragraphs>67</Paragraphs>
  <ScaleCrop>false</ScaleCrop>
  <HeadingPairs>
    <vt:vector size="2" baseType="variant">
      <vt:variant>
        <vt:lpstr>Title</vt:lpstr>
      </vt:variant>
      <vt:variant>
        <vt:i4>1</vt:i4>
      </vt:variant>
    </vt:vector>
  </HeadingPairs>
  <TitlesOfParts>
    <vt:vector size="1" baseType="lpstr">
      <vt:lpstr/>
    </vt:vector>
  </TitlesOfParts>
  <Company>Dubai Financial Services Authority</Company>
  <LinksUpToDate>false</LinksUpToDate>
  <CharactersWithSpaces>33844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Kaja Mohaisen</dc:creator>
  <cp:lastModifiedBy>Kaja Mohaisen</cp:lastModifiedBy>
  <cp:revision>2</cp:revision>
  <dcterms:created xsi:type="dcterms:W3CDTF">2019-04-03T10:29:00Z</dcterms:created>
  <dcterms:modified xsi:type="dcterms:W3CDTF">2019-04-03T10:29:00Z</dcterms:modified>
</cp:coreProperties>
</file>